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5D0C4" w14:textId="77777777" w:rsidR="00123A8C" w:rsidRDefault="00123A8C" w:rsidP="00123A8C">
      <w:r>
        <w:t>Pubblicato il 26/02/2024</w:t>
      </w:r>
    </w:p>
    <w:p w14:paraId="1EC6AE5F" w14:textId="77777777" w:rsidR="00123A8C" w:rsidRDefault="00123A8C" w:rsidP="00123A8C">
      <w:r>
        <w:t>N. 01871/2024REG.PROV.COLL.</w:t>
      </w:r>
    </w:p>
    <w:p w14:paraId="471C2AB5" w14:textId="77777777" w:rsidR="00123A8C" w:rsidRDefault="00123A8C" w:rsidP="00123A8C"/>
    <w:p w14:paraId="1E9F4470" w14:textId="77777777" w:rsidR="00123A8C" w:rsidRPr="00123A8C" w:rsidRDefault="00123A8C" w:rsidP="00123A8C">
      <w:pPr>
        <w:rPr>
          <w:lang w:val="en-US"/>
        </w:rPr>
      </w:pPr>
      <w:r w:rsidRPr="00123A8C">
        <w:rPr>
          <w:lang w:val="en-US"/>
        </w:rPr>
        <w:t>N. 06856/2023 REG.RIC.</w:t>
      </w:r>
    </w:p>
    <w:p w14:paraId="5F1138A1" w14:textId="77777777" w:rsidR="00123A8C" w:rsidRPr="00123A8C" w:rsidRDefault="00123A8C" w:rsidP="00123A8C">
      <w:pPr>
        <w:rPr>
          <w:lang w:val="en-US"/>
        </w:rPr>
      </w:pPr>
    </w:p>
    <w:p w14:paraId="32B65E51" w14:textId="77777777" w:rsidR="00123A8C" w:rsidRPr="00123A8C" w:rsidRDefault="00123A8C" w:rsidP="00123A8C">
      <w:pPr>
        <w:rPr>
          <w:lang w:val="en-US"/>
        </w:rPr>
      </w:pPr>
      <w:r w:rsidRPr="00123A8C">
        <w:rPr>
          <w:lang w:val="en-US"/>
        </w:rPr>
        <w:t>N. 06859/2023 REG.RIC.</w:t>
      </w:r>
    </w:p>
    <w:p w14:paraId="194D1D7F" w14:textId="77777777" w:rsidR="00123A8C" w:rsidRPr="00123A8C" w:rsidRDefault="00123A8C" w:rsidP="00123A8C">
      <w:pPr>
        <w:rPr>
          <w:lang w:val="en-US"/>
        </w:rPr>
      </w:pPr>
    </w:p>
    <w:p w14:paraId="3E716355" w14:textId="77777777" w:rsidR="00123A8C" w:rsidRPr="00123A8C" w:rsidRDefault="00123A8C" w:rsidP="00123A8C">
      <w:pPr>
        <w:rPr>
          <w:lang w:val="en-US"/>
        </w:rPr>
      </w:pPr>
      <w:r w:rsidRPr="00123A8C">
        <w:rPr>
          <w:lang w:val="en-US"/>
        </w:rPr>
        <w:t>N. 06861/2023 REG.RIC.</w:t>
      </w:r>
    </w:p>
    <w:p w14:paraId="1EFC97B0" w14:textId="77777777" w:rsidR="00123A8C" w:rsidRPr="00123A8C" w:rsidRDefault="00123A8C" w:rsidP="00123A8C">
      <w:pPr>
        <w:rPr>
          <w:lang w:val="en-US"/>
        </w:rPr>
      </w:pPr>
    </w:p>
    <w:p w14:paraId="5B53EC50" w14:textId="77777777" w:rsidR="00123A8C" w:rsidRPr="00123A8C" w:rsidRDefault="00123A8C" w:rsidP="00123A8C">
      <w:pPr>
        <w:rPr>
          <w:lang w:val="en-US"/>
        </w:rPr>
      </w:pPr>
      <w:r w:rsidRPr="00123A8C">
        <w:rPr>
          <w:lang w:val="en-US"/>
        </w:rPr>
        <w:t>N. 06876/2023 REG.RIC.</w:t>
      </w:r>
    </w:p>
    <w:p w14:paraId="3D9DADCD" w14:textId="77777777" w:rsidR="00123A8C" w:rsidRPr="00123A8C" w:rsidRDefault="00123A8C" w:rsidP="00123A8C">
      <w:pPr>
        <w:rPr>
          <w:lang w:val="en-US"/>
        </w:rPr>
      </w:pPr>
    </w:p>
    <w:p w14:paraId="65216B29" w14:textId="77777777" w:rsidR="00123A8C" w:rsidRPr="00123A8C" w:rsidRDefault="00123A8C" w:rsidP="00123A8C">
      <w:pPr>
        <w:rPr>
          <w:lang w:val="en-US"/>
        </w:rPr>
      </w:pPr>
      <w:r w:rsidRPr="00123A8C">
        <w:rPr>
          <w:lang w:val="en-US"/>
        </w:rPr>
        <w:t>N. 06880/2023 REG.RIC.</w:t>
      </w:r>
    </w:p>
    <w:p w14:paraId="4E18EDFE" w14:textId="77777777" w:rsidR="00123A8C" w:rsidRPr="00123A8C" w:rsidRDefault="00123A8C" w:rsidP="00123A8C">
      <w:pPr>
        <w:rPr>
          <w:lang w:val="en-US"/>
        </w:rPr>
      </w:pPr>
    </w:p>
    <w:p w14:paraId="2D6F0AE8" w14:textId="77777777" w:rsidR="00123A8C" w:rsidRPr="00123A8C" w:rsidRDefault="00123A8C" w:rsidP="00123A8C">
      <w:pPr>
        <w:rPr>
          <w:lang w:val="en-US"/>
        </w:rPr>
      </w:pPr>
      <w:r w:rsidRPr="00123A8C">
        <w:rPr>
          <w:lang w:val="en-US"/>
        </w:rPr>
        <w:t>N. 06885/2023 REG.RIC.</w:t>
      </w:r>
    </w:p>
    <w:p w14:paraId="180233C3" w14:textId="77777777" w:rsidR="00123A8C" w:rsidRPr="00123A8C" w:rsidRDefault="00123A8C" w:rsidP="00123A8C">
      <w:pPr>
        <w:rPr>
          <w:lang w:val="en-US"/>
        </w:rPr>
      </w:pPr>
    </w:p>
    <w:p w14:paraId="27886C46" w14:textId="77777777" w:rsidR="00123A8C" w:rsidRPr="00123A8C" w:rsidRDefault="00123A8C" w:rsidP="00123A8C">
      <w:pPr>
        <w:rPr>
          <w:lang w:val="en-US"/>
        </w:rPr>
      </w:pPr>
      <w:r w:rsidRPr="00123A8C">
        <w:rPr>
          <w:lang w:val="en-US"/>
        </w:rPr>
        <w:t>N. 07590/2023 REG.RIC.</w:t>
      </w:r>
    </w:p>
    <w:p w14:paraId="37AE8841" w14:textId="77777777" w:rsidR="00123A8C" w:rsidRPr="00123A8C" w:rsidRDefault="00123A8C" w:rsidP="00123A8C">
      <w:pPr>
        <w:rPr>
          <w:lang w:val="en-US"/>
        </w:rPr>
      </w:pPr>
    </w:p>
    <w:p w14:paraId="3DAE02C0" w14:textId="77777777" w:rsidR="00123A8C" w:rsidRPr="00123A8C" w:rsidRDefault="00123A8C" w:rsidP="00123A8C">
      <w:pPr>
        <w:rPr>
          <w:lang w:val="en-US"/>
        </w:rPr>
      </w:pPr>
      <w:r w:rsidRPr="00123A8C">
        <w:rPr>
          <w:lang w:val="en-US"/>
        </w:rPr>
        <w:t>N. 07603/2023 REG.RIC.</w:t>
      </w:r>
    </w:p>
    <w:p w14:paraId="57AC511F" w14:textId="77777777" w:rsidR="00123A8C" w:rsidRPr="00123A8C" w:rsidRDefault="00123A8C" w:rsidP="00123A8C">
      <w:pPr>
        <w:rPr>
          <w:lang w:val="en-US"/>
        </w:rPr>
      </w:pPr>
    </w:p>
    <w:p w14:paraId="08B0F625" w14:textId="77777777" w:rsidR="00123A8C" w:rsidRPr="00123A8C" w:rsidRDefault="00123A8C" w:rsidP="00123A8C">
      <w:pPr>
        <w:rPr>
          <w:lang w:val="en-US"/>
        </w:rPr>
      </w:pPr>
      <w:r w:rsidRPr="00123A8C">
        <w:rPr>
          <w:lang w:val="en-US"/>
        </w:rPr>
        <w:t>N. 07607/2023 REG.RIC.</w:t>
      </w:r>
    </w:p>
    <w:p w14:paraId="07DFA1CB" w14:textId="77777777" w:rsidR="00123A8C" w:rsidRPr="00123A8C" w:rsidRDefault="00123A8C" w:rsidP="00123A8C">
      <w:pPr>
        <w:rPr>
          <w:lang w:val="en-US"/>
        </w:rPr>
      </w:pPr>
    </w:p>
    <w:p w14:paraId="294E8CA3" w14:textId="77777777" w:rsidR="00123A8C" w:rsidRPr="00123A8C" w:rsidRDefault="00123A8C" w:rsidP="00123A8C">
      <w:pPr>
        <w:rPr>
          <w:lang w:val="en-US"/>
        </w:rPr>
      </w:pPr>
      <w:r w:rsidRPr="00123A8C">
        <w:rPr>
          <w:lang w:val="en-US"/>
        </w:rPr>
        <w:t>N. 07850/2023 REG.RIC.</w:t>
      </w:r>
    </w:p>
    <w:p w14:paraId="45762347" w14:textId="77777777" w:rsidR="00123A8C" w:rsidRPr="00123A8C" w:rsidRDefault="00123A8C" w:rsidP="00123A8C">
      <w:pPr>
        <w:rPr>
          <w:lang w:val="en-US"/>
        </w:rPr>
      </w:pPr>
    </w:p>
    <w:p w14:paraId="6034415E" w14:textId="77777777" w:rsidR="00123A8C" w:rsidRPr="00123A8C" w:rsidRDefault="00123A8C" w:rsidP="00123A8C">
      <w:pPr>
        <w:rPr>
          <w:lang w:val="en-US"/>
        </w:rPr>
      </w:pPr>
      <w:r w:rsidRPr="00123A8C">
        <w:rPr>
          <w:lang w:val="en-US"/>
        </w:rPr>
        <w:t>N. 08112/2023 REG.RIC.</w:t>
      </w:r>
    </w:p>
    <w:p w14:paraId="4FBCA68A" w14:textId="77777777" w:rsidR="00123A8C" w:rsidRPr="00123A8C" w:rsidRDefault="00123A8C" w:rsidP="00123A8C">
      <w:pPr>
        <w:rPr>
          <w:lang w:val="en-US"/>
        </w:rPr>
      </w:pPr>
    </w:p>
    <w:p w14:paraId="134DCB7C" w14:textId="77777777" w:rsidR="00123A8C" w:rsidRPr="00123A8C" w:rsidRDefault="00123A8C" w:rsidP="00123A8C">
      <w:pPr>
        <w:rPr>
          <w:lang w:val="en-US"/>
        </w:rPr>
      </w:pPr>
      <w:r w:rsidRPr="00123A8C">
        <w:rPr>
          <w:lang w:val="en-US"/>
        </w:rPr>
        <w:t>N. 08228/2023 REG.RIC.</w:t>
      </w:r>
    </w:p>
    <w:p w14:paraId="2A84153C" w14:textId="77777777" w:rsidR="00123A8C" w:rsidRPr="00123A8C" w:rsidRDefault="00123A8C" w:rsidP="00123A8C">
      <w:pPr>
        <w:rPr>
          <w:lang w:val="en-US"/>
        </w:rPr>
      </w:pPr>
    </w:p>
    <w:p w14:paraId="282F79B0" w14:textId="77777777" w:rsidR="00123A8C" w:rsidRPr="00123A8C" w:rsidRDefault="00123A8C" w:rsidP="00123A8C">
      <w:pPr>
        <w:rPr>
          <w:lang w:val="en-US"/>
        </w:rPr>
      </w:pPr>
    </w:p>
    <w:p w14:paraId="405C1514" w14:textId="77777777" w:rsidR="00123A8C" w:rsidRPr="00123A8C" w:rsidRDefault="00123A8C" w:rsidP="00123A8C">
      <w:pPr>
        <w:rPr>
          <w:lang w:val="en-US"/>
        </w:rPr>
      </w:pPr>
    </w:p>
    <w:p w14:paraId="27A16653" w14:textId="77777777" w:rsidR="00123A8C" w:rsidRDefault="00123A8C" w:rsidP="00123A8C">
      <w:r>
        <w:t>REPUBBLICA ITALIANA</w:t>
      </w:r>
    </w:p>
    <w:p w14:paraId="75DF519F" w14:textId="77777777" w:rsidR="00123A8C" w:rsidRDefault="00123A8C" w:rsidP="00123A8C"/>
    <w:p w14:paraId="134B27F1" w14:textId="77777777" w:rsidR="00123A8C" w:rsidRDefault="00123A8C" w:rsidP="00123A8C">
      <w:r>
        <w:t>IN NOME DEL POPOLO ITALIANO</w:t>
      </w:r>
    </w:p>
    <w:p w14:paraId="454800AC" w14:textId="77777777" w:rsidR="00123A8C" w:rsidRDefault="00123A8C" w:rsidP="00123A8C"/>
    <w:p w14:paraId="764EA232" w14:textId="77777777" w:rsidR="00123A8C" w:rsidRDefault="00123A8C" w:rsidP="00123A8C">
      <w:r>
        <w:t>Il Consiglio di Stato</w:t>
      </w:r>
    </w:p>
    <w:p w14:paraId="41B13E97" w14:textId="77777777" w:rsidR="00123A8C" w:rsidRDefault="00123A8C" w:rsidP="00123A8C"/>
    <w:p w14:paraId="47BB0C62" w14:textId="77777777" w:rsidR="00123A8C" w:rsidRDefault="00123A8C" w:rsidP="00123A8C">
      <w:r>
        <w:t>in sede giurisdizionale (Sezione Settima)</w:t>
      </w:r>
    </w:p>
    <w:p w14:paraId="6DD6EA29" w14:textId="77777777" w:rsidR="00123A8C" w:rsidRDefault="00123A8C" w:rsidP="00123A8C"/>
    <w:p w14:paraId="68E20993" w14:textId="77777777" w:rsidR="00123A8C" w:rsidRDefault="00123A8C" w:rsidP="00123A8C">
      <w:r>
        <w:t>ha pronunciato la presente</w:t>
      </w:r>
    </w:p>
    <w:p w14:paraId="42962EC9" w14:textId="77777777" w:rsidR="00123A8C" w:rsidRDefault="00123A8C" w:rsidP="00123A8C"/>
    <w:p w14:paraId="168D9B74" w14:textId="77777777" w:rsidR="00123A8C" w:rsidRDefault="00123A8C" w:rsidP="00123A8C">
      <w:r>
        <w:t>SENTENZA</w:t>
      </w:r>
    </w:p>
    <w:p w14:paraId="51918117" w14:textId="77777777" w:rsidR="00123A8C" w:rsidRDefault="00123A8C" w:rsidP="00123A8C"/>
    <w:p w14:paraId="561221ED" w14:textId="5FD18862" w:rsidR="00123A8C" w:rsidRDefault="00123A8C" w:rsidP="00123A8C">
      <w:r>
        <w:t xml:space="preserve">sul ricorso numero di registro generale 6856 del 2023, proposto da Sisal Italia S.p.A., </w:t>
      </w:r>
    </w:p>
    <w:p w14:paraId="10AC6162" w14:textId="77777777" w:rsidR="00123A8C" w:rsidRDefault="00123A8C" w:rsidP="00123A8C">
      <w:r>
        <w:t>contro</w:t>
      </w:r>
    </w:p>
    <w:p w14:paraId="4020AFBD" w14:textId="77777777" w:rsidR="00123A8C" w:rsidRDefault="00123A8C" w:rsidP="00123A8C"/>
    <w:p w14:paraId="4102B5E9" w14:textId="77777777" w:rsidR="00123A8C" w:rsidRDefault="00123A8C" w:rsidP="00123A8C">
      <w:r>
        <w:t>l’Agenzia delle Dogane e dei Monopoli, in persona del Direttore pro tempore, e il Ministero dell'Economia e delle Finanze, in persona del Ministro pro tempore, rappresentati e difesi dall'Avvocatura generale dello Stato, domiciliata in Roma, via dei Portoghesi, 12;</w:t>
      </w:r>
    </w:p>
    <w:p w14:paraId="200973BA" w14:textId="77777777" w:rsidR="00123A8C" w:rsidRDefault="00123A8C" w:rsidP="00123A8C">
      <w:r>
        <w:t>nei confronti</w:t>
      </w:r>
    </w:p>
    <w:p w14:paraId="25A9765F" w14:textId="77777777" w:rsidR="00123A8C" w:rsidRDefault="00123A8C" w:rsidP="00123A8C"/>
    <w:p w14:paraId="2E3376F8" w14:textId="77777777" w:rsidR="00123A8C" w:rsidRDefault="00123A8C" w:rsidP="00123A8C"/>
    <w:p w14:paraId="0767CA8F" w14:textId="77777777" w:rsidR="00123A8C" w:rsidRDefault="00123A8C" w:rsidP="00123A8C"/>
    <w:p w14:paraId="33D287D9" w14:textId="11A030D2" w:rsidR="00123A8C" w:rsidRDefault="00123A8C" w:rsidP="00123A8C">
      <w:r>
        <w:lastRenderedPageBreak/>
        <w:t>sul ricorso numero di registro generale 6859 del 2023, propo</w:t>
      </w:r>
      <w:r w:rsidR="006B5DC6">
        <w:t xml:space="preserve">sto da </w:t>
      </w:r>
      <w:proofErr w:type="spellStart"/>
      <w:r w:rsidR="006B5DC6">
        <w:t>Stanleybet</w:t>
      </w:r>
      <w:proofErr w:type="spellEnd"/>
      <w:r w:rsidR="006B5DC6">
        <w:t xml:space="preserve"> Malta Limited</w:t>
      </w:r>
      <w:r>
        <w:t>;</w:t>
      </w:r>
    </w:p>
    <w:p w14:paraId="2EB256A4" w14:textId="77777777" w:rsidR="00123A8C" w:rsidRDefault="00123A8C" w:rsidP="00123A8C">
      <w:r>
        <w:t>contro</w:t>
      </w:r>
    </w:p>
    <w:p w14:paraId="0AB29E02" w14:textId="77777777" w:rsidR="00123A8C" w:rsidRDefault="00123A8C" w:rsidP="00123A8C"/>
    <w:p w14:paraId="016470B2" w14:textId="77777777" w:rsidR="00123A8C" w:rsidRDefault="00123A8C" w:rsidP="00123A8C">
      <w:r>
        <w:t>l’Agenzia delle Dogane e dei Monopoli, in persona del Direttore pro tempore, e il Ministero dell'Economia e delle Finanze, in persona del Ministro pro tempore, rappresentati e difesi dall'Avvocatura generale dello Stato, domiciliata in Roma, via dei Portoghesi, 12;</w:t>
      </w:r>
    </w:p>
    <w:p w14:paraId="05441876" w14:textId="77777777" w:rsidR="00123A8C" w:rsidRDefault="00123A8C" w:rsidP="00123A8C"/>
    <w:p w14:paraId="206B1866" w14:textId="77777777" w:rsidR="00123A8C" w:rsidRDefault="00123A8C" w:rsidP="00123A8C"/>
    <w:p w14:paraId="4793C280" w14:textId="497DA774" w:rsidR="00123A8C" w:rsidRDefault="00123A8C" w:rsidP="00123A8C">
      <w:r>
        <w:t xml:space="preserve">sul ricorso numero di registro generale 6861 del 2023, proposto da </w:t>
      </w:r>
      <w:proofErr w:type="spellStart"/>
      <w:r>
        <w:t>Snaitech</w:t>
      </w:r>
      <w:proofErr w:type="spellEnd"/>
      <w:r>
        <w:t xml:space="preserve"> S.p.A.,</w:t>
      </w:r>
    </w:p>
    <w:p w14:paraId="0A9980F5" w14:textId="77777777" w:rsidR="00123A8C" w:rsidRDefault="00123A8C" w:rsidP="00123A8C"/>
    <w:p w14:paraId="3DF4E7B5" w14:textId="77777777" w:rsidR="00123A8C" w:rsidRDefault="00123A8C" w:rsidP="00123A8C">
      <w:r>
        <w:t>contro</w:t>
      </w:r>
    </w:p>
    <w:p w14:paraId="7769E723" w14:textId="77777777" w:rsidR="00123A8C" w:rsidRDefault="00123A8C" w:rsidP="00123A8C"/>
    <w:p w14:paraId="34D5287F" w14:textId="77777777" w:rsidR="00123A8C" w:rsidRDefault="00123A8C" w:rsidP="00123A8C">
      <w:r>
        <w:t>l’Agenzia delle Dogane e dei Monopoli, in persona del Direttore pro tempore, e il Ministero dell'Economia e delle Finanze, in persona del Ministro pro tempore, rappresentati e difesi dall'Avvocatura generale dello Stato, domiciliata in Roma, via dei Portoghesi, 12;</w:t>
      </w:r>
    </w:p>
    <w:p w14:paraId="707F507F" w14:textId="77777777" w:rsidR="00123A8C" w:rsidRDefault="00123A8C" w:rsidP="00123A8C"/>
    <w:p w14:paraId="5F401976" w14:textId="77777777" w:rsidR="00123A8C" w:rsidRDefault="00123A8C" w:rsidP="00123A8C">
      <w:r>
        <w:t>nei confronti</w:t>
      </w:r>
    </w:p>
    <w:p w14:paraId="391DB17D" w14:textId="77777777" w:rsidR="00123A8C" w:rsidRDefault="00123A8C" w:rsidP="00123A8C"/>
    <w:p w14:paraId="432ED849" w14:textId="77777777" w:rsidR="00123A8C" w:rsidRDefault="00123A8C" w:rsidP="00123A8C">
      <w:proofErr w:type="spellStart"/>
      <w:r>
        <w:t>Betflag</w:t>
      </w:r>
      <w:proofErr w:type="spellEnd"/>
      <w:r>
        <w:t xml:space="preserve"> S.p.A., </w:t>
      </w:r>
      <w:proofErr w:type="spellStart"/>
      <w:r>
        <w:t>Marathonbet</w:t>
      </w:r>
      <w:proofErr w:type="spellEnd"/>
      <w:r>
        <w:t xml:space="preserve"> </w:t>
      </w:r>
      <w:proofErr w:type="spellStart"/>
      <w:r>
        <w:t>Italy</w:t>
      </w:r>
      <w:proofErr w:type="spellEnd"/>
      <w:r>
        <w:t xml:space="preserve"> S.r.l., non costituiti in giudizio;</w:t>
      </w:r>
    </w:p>
    <w:p w14:paraId="772C341E" w14:textId="77777777" w:rsidR="00123A8C" w:rsidRDefault="00123A8C" w:rsidP="00123A8C"/>
    <w:p w14:paraId="75D86DAA" w14:textId="77777777" w:rsidR="00123A8C" w:rsidRDefault="00123A8C" w:rsidP="00123A8C"/>
    <w:p w14:paraId="0AF3FBE3" w14:textId="77777777" w:rsidR="00123A8C" w:rsidRDefault="00123A8C" w:rsidP="00123A8C"/>
    <w:p w14:paraId="4D12E0F2" w14:textId="748DEBB2" w:rsidR="00123A8C" w:rsidRDefault="00123A8C" w:rsidP="00123A8C">
      <w:r>
        <w:t xml:space="preserve">sul ricorso numero di registro generale 6876 del 2023, proposto da E-Play 24 Ita Ltd, in persona del legale rappresentante pro tempore, rappresentata e difesa dagli avvocati </w:t>
      </w:r>
    </w:p>
    <w:p w14:paraId="684C8791" w14:textId="77777777" w:rsidR="00123A8C" w:rsidRDefault="00123A8C" w:rsidP="00123A8C"/>
    <w:p w14:paraId="5AF9B5D8" w14:textId="77777777" w:rsidR="00123A8C" w:rsidRDefault="00123A8C" w:rsidP="00123A8C">
      <w:r>
        <w:t>contro</w:t>
      </w:r>
    </w:p>
    <w:p w14:paraId="38C1F616" w14:textId="77777777" w:rsidR="00123A8C" w:rsidRDefault="00123A8C" w:rsidP="00123A8C"/>
    <w:p w14:paraId="040A82F0" w14:textId="77777777" w:rsidR="00123A8C" w:rsidRDefault="00123A8C" w:rsidP="00123A8C">
      <w:r>
        <w:t>l’Agenzia delle Dogane e dei Monopoli, in persona del Direttore pro tempore, e il Ministero dell'Economia e delle Finanze, in persona del Ministro pro tempore, rappresentati e difesi dall'Avvocatura generale dello Stato, domiciliata in Roma, via dei Portoghesi, 12;</w:t>
      </w:r>
    </w:p>
    <w:p w14:paraId="224DD59B" w14:textId="77777777" w:rsidR="00123A8C" w:rsidRDefault="00123A8C" w:rsidP="00123A8C"/>
    <w:p w14:paraId="1F08596D" w14:textId="77777777" w:rsidR="00123A8C" w:rsidRDefault="00123A8C" w:rsidP="00123A8C">
      <w:r>
        <w:t>nei confronti</w:t>
      </w:r>
    </w:p>
    <w:p w14:paraId="1E5B7454" w14:textId="77777777" w:rsidR="00123A8C" w:rsidRDefault="00123A8C" w:rsidP="00123A8C"/>
    <w:p w14:paraId="358A8A2A" w14:textId="77777777" w:rsidR="00123A8C" w:rsidRDefault="00123A8C" w:rsidP="00123A8C">
      <w:proofErr w:type="spellStart"/>
      <w:r>
        <w:t>Betflag</w:t>
      </w:r>
      <w:proofErr w:type="spellEnd"/>
      <w:r>
        <w:t xml:space="preserve"> S.r.l., Sisal Italia S.p.A., non costituiti in giudizio;</w:t>
      </w:r>
    </w:p>
    <w:p w14:paraId="1EE34A52" w14:textId="77777777" w:rsidR="00123A8C" w:rsidRDefault="00123A8C" w:rsidP="00123A8C"/>
    <w:p w14:paraId="10A6F632" w14:textId="77777777" w:rsidR="00123A8C" w:rsidRDefault="00123A8C" w:rsidP="00123A8C"/>
    <w:p w14:paraId="703F9DCC" w14:textId="77777777" w:rsidR="00123A8C" w:rsidRDefault="00123A8C" w:rsidP="00123A8C"/>
    <w:p w14:paraId="53959FCE" w14:textId="6E127325" w:rsidR="00123A8C" w:rsidRDefault="00123A8C" w:rsidP="00123A8C">
      <w:r>
        <w:t xml:space="preserve">sul ricorso numero di registro generale 6880 del 2023, proposto da </w:t>
      </w:r>
      <w:proofErr w:type="spellStart"/>
      <w:r>
        <w:t>Sascom</w:t>
      </w:r>
      <w:proofErr w:type="spellEnd"/>
      <w:r>
        <w:t xml:space="preserve"> S.r.l.,</w:t>
      </w:r>
    </w:p>
    <w:p w14:paraId="2E20960D" w14:textId="77777777" w:rsidR="00123A8C" w:rsidRDefault="00123A8C" w:rsidP="00123A8C"/>
    <w:p w14:paraId="33293FFF" w14:textId="77777777" w:rsidR="00123A8C" w:rsidRDefault="00123A8C" w:rsidP="00123A8C">
      <w:r>
        <w:t>contro</w:t>
      </w:r>
    </w:p>
    <w:p w14:paraId="5088FA38" w14:textId="77777777" w:rsidR="00123A8C" w:rsidRDefault="00123A8C" w:rsidP="00123A8C"/>
    <w:p w14:paraId="31F4155B" w14:textId="77777777" w:rsidR="00123A8C" w:rsidRDefault="00123A8C" w:rsidP="00123A8C">
      <w:r>
        <w:t>l’Agenzia delle Dogane e dei Monopoli, in persona del Direttore pro tempore, e il Ministero dell'Economia e delle Finanze, in persona del Ministro pro tempore, rappresentati e difesi dall'Avvocatura generale dello Stato, domiciliata in Roma, via dei Portoghesi, 12;</w:t>
      </w:r>
    </w:p>
    <w:p w14:paraId="7BE403D2" w14:textId="77777777" w:rsidR="00123A8C" w:rsidRDefault="00123A8C" w:rsidP="00123A8C"/>
    <w:p w14:paraId="75737F3B" w14:textId="77777777" w:rsidR="00123A8C" w:rsidRDefault="00123A8C" w:rsidP="00123A8C">
      <w:r>
        <w:t>nei confronti</w:t>
      </w:r>
    </w:p>
    <w:p w14:paraId="6AE4E2A8" w14:textId="77777777" w:rsidR="00123A8C" w:rsidRDefault="00123A8C" w:rsidP="00123A8C"/>
    <w:p w14:paraId="69D83A58" w14:textId="77777777" w:rsidR="00123A8C" w:rsidRDefault="00123A8C" w:rsidP="00123A8C">
      <w:proofErr w:type="spellStart"/>
      <w:r>
        <w:t>Betflag</w:t>
      </w:r>
      <w:proofErr w:type="spellEnd"/>
      <w:r>
        <w:t xml:space="preserve"> S.p.A., </w:t>
      </w:r>
      <w:proofErr w:type="spellStart"/>
      <w:r>
        <w:t>Marathonbet</w:t>
      </w:r>
      <w:proofErr w:type="spellEnd"/>
      <w:r>
        <w:t xml:space="preserve"> </w:t>
      </w:r>
      <w:proofErr w:type="spellStart"/>
      <w:r>
        <w:t>Italy</w:t>
      </w:r>
      <w:proofErr w:type="spellEnd"/>
      <w:r>
        <w:t xml:space="preserve"> S.r.l., non costituiti in giudizio;</w:t>
      </w:r>
    </w:p>
    <w:p w14:paraId="274330CA" w14:textId="77777777" w:rsidR="00123A8C" w:rsidRDefault="00123A8C" w:rsidP="00123A8C"/>
    <w:p w14:paraId="57B381A9" w14:textId="77777777" w:rsidR="00123A8C" w:rsidRDefault="00123A8C" w:rsidP="00123A8C"/>
    <w:p w14:paraId="1C8206CA" w14:textId="77777777" w:rsidR="00123A8C" w:rsidRDefault="00123A8C" w:rsidP="00123A8C"/>
    <w:p w14:paraId="434B376B" w14:textId="086BE6C3" w:rsidR="00123A8C" w:rsidRDefault="00123A8C" w:rsidP="00123A8C">
      <w:r>
        <w:t>sul ricorso numero di registro generale 6885 del 2023, proposto dall’Agenzia Ippica Luciano Giove S.r.l</w:t>
      </w:r>
      <w:r w:rsidR="006B5DC6">
        <w:t>.</w:t>
      </w:r>
    </w:p>
    <w:p w14:paraId="3799DB03" w14:textId="77777777" w:rsidR="00123A8C" w:rsidRDefault="00123A8C" w:rsidP="00123A8C"/>
    <w:p w14:paraId="2473E572" w14:textId="77777777" w:rsidR="00123A8C" w:rsidRDefault="00123A8C" w:rsidP="00123A8C">
      <w:r>
        <w:t>contro</w:t>
      </w:r>
    </w:p>
    <w:p w14:paraId="0D361AB6" w14:textId="77777777" w:rsidR="00123A8C" w:rsidRDefault="00123A8C" w:rsidP="00123A8C"/>
    <w:p w14:paraId="6FAB78DA" w14:textId="77777777" w:rsidR="00123A8C" w:rsidRDefault="00123A8C" w:rsidP="00123A8C">
      <w:r>
        <w:t>l’Agenzia delle Dogane e dei Monopoli, in persona del Direttore pro tempore, e il Ministero dell'Economia e delle Finanze, in persona del Ministro pro tempore, rappresentati e difesi dall'Avvocatura generale dello Stato, domiciliata in Roma, via dei Portoghesi, 12;</w:t>
      </w:r>
    </w:p>
    <w:p w14:paraId="20484101" w14:textId="77777777" w:rsidR="00123A8C" w:rsidRDefault="00123A8C" w:rsidP="00123A8C"/>
    <w:p w14:paraId="0EF275F1" w14:textId="77777777" w:rsidR="00123A8C" w:rsidRDefault="00123A8C" w:rsidP="00123A8C">
      <w:r>
        <w:t>nei confronti</w:t>
      </w:r>
    </w:p>
    <w:p w14:paraId="06A36955" w14:textId="77777777" w:rsidR="00123A8C" w:rsidRDefault="00123A8C" w:rsidP="00123A8C"/>
    <w:p w14:paraId="460C9FFF" w14:textId="77777777" w:rsidR="00123A8C" w:rsidRDefault="00123A8C" w:rsidP="00123A8C">
      <w:proofErr w:type="spellStart"/>
      <w:r>
        <w:t>Betflag</w:t>
      </w:r>
      <w:proofErr w:type="spellEnd"/>
      <w:r>
        <w:t xml:space="preserve"> S.p.A., </w:t>
      </w:r>
      <w:proofErr w:type="spellStart"/>
      <w:r>
        <w:t>Marathonbet</w:t>
      </w:r>
      <w:proofErr w:type="spellEnd"/>
      <w:r>
        <w:t xml:space="preserve"> </w:t>
      </w:r>
      <w:proofErr w:type="spellStart"/>
      <w:r>
        <w:t>Italy</w:t>
      </w:r>
      <w:proofErr w:type="spellEnd"/>
      <w:r>
        <w:t xml:space="preserve"> S.r.l., non costituiti in giudizio;</w:t>
      </w:r>
    </w:p>
    <w:p w14:paraId="6D62C35D" w14:textId="77777777" w:rsidR="00123A8C" w:rsidRDefault="00123A8C" w:rsidP="00123A8C"/>
    <w:p w14:paraId="00EDBCCD" w14:textId="77777777" w:rsidR="00123A8C" w:rsidRDefault="00123A8C" w:rsidP="00123A8C"/>
    <w:p w14:paraId="3B70BB3F" w14:textId="77777777" w:rsidR="00123A8C" w:rsidRDefault="00123A8C" w:rsidP="00123A8C"/>
    <w:p w14:paraId="6ECC3142" w14:textId="13E3CFF4" w:rsidR="00123A8C" w:rsidRDefault="00123A8C" w:rsidP="00123A8C">
      <w:r>
        <w:t xml:space="preserve">sul ricorso numero di registro generale 7590 del 2023, proposto da </w:t>
      </w:r>
      <w:proofErr w:type="spellStart"/>
      <w:r>
        <w:t>Unibet</w:t>
      </w:r>
      <w:proofErr w:type="spellEnd"/>
      <w:r>
        <w:t xml:space="preserve"> (Italia) Ltd</w:t>
      </w:r>
      <w:r w:rsidR="006B5DC6">
        <w:t>,</w:t>
      </w:r>
    </w:p>
    <w:p w14:paraId="2A8AA052" w14:textId="77777777" w:rsidR="00123A8C" w:rsidRDefault="00123A8C" w:rsidP="00123A8C"/>
    <w:p w14:paraId="233540A2" w14:textId="77777777" w:rsidR="00123A8C" w:rsidRDefault="00123A8C" w:rsidP="00123A8C">
      <w:r>
        <w:t>contro</w:t>
      </w:r>
    </w:p>
    <w:p w14:paraId="4CFD4E55" w14:textId="77777777" w:rsidR="00123A8C" w:rsidRDefault="00123A8C" w:rsidP="00123A8C"/>
    <w:p w14:paraId="2CB2F7A9" w14:textId="77777777" w:rsidR="00123A8C" w:rsidRDefault="00123A8C" w:rsidP="00123A8C">
      <w:r>
        <w:t>l’Agenzia delle Dogane e dei Monopoli, in persona del Direttore pro tempore, e il Ministero dell'Economia e delle Finanze, in persona del Ministro pro tempore, rappresentati e difesi dall'Avvocatura generale dello Stato, domiciliata in Roma, via dei Portoghesi, 12;</w:t>
      </w:r>
    </w:p>
    <w:p w14:paraId="68D3CDA2" w14:textId="77777777" w:rsidR="00123A8C" w:rsidRDefault="00123A8C" w:rsidP="00123A8C"/>
    <w:p w14:paraId="2084A562" w14:textId="77777777" w:rsidR="00123A8C" w:rsidRDefault="00123A8C" w:rsidP="00123A8C">
      <w:r>
        <w:t>nei confronti</w:t>
      </w:r>
    </w:p>
    <w:p w14:paraId="1BC958CD" w14:textId="77777777" w:rsidR="00123A8C" w:rsidRDefault="00123A8C" w:rsidP="00123A8C"/>
    <w:p w14:paraId="16606CCB" w14:textId="77777777" w:rsidR="00123A8C" w:rsidRDefault="00123A8C" w:rsidP="00123A8C">
      <w:proofErr w:type="spellStart"/>
      <w:r>
        <w:t>Betflag</w:t>
      </w:r>
      <w:proofErr w:type="spellEnd"/>
      <w:r>
        <w:t xml:space="preserve"> S.p.A., Sisal S.p.A., non costituiti in giudizio;</w:t>
      </w:r>
    </w:p>
    <w:p w14:paraId="0C3A63B1" w14:textId="77777777" w:rsidR="00123A8C" w:rsidRDefault="00123A8C" w:rsidP="00123A8C"/>
    <w:p w14:paraId="370F3CC4" w14:textId="77777777" w:rsidR="00123A8C" w:rsidRDefault="00123A8C" w:rsidP="00123A8C"/>
    <w:p w14:paraId="5E9AFF45" w14:textId="77777777" w:rsidR="00123A8C" w:rsidRDefault="00123A8C" w:rsidP="00123A8C"/>
    <w:p w14:paraId="7B3FF29F" w14:textId="25AD6DE7" w:rsidR="00123A8C" w:rsidRDefault="00123A8C" w:rsidP="00123A8C">
      <w:r>
        <w:t xml:space="preserve">sul ricorso numero di registro generale 7603 del 2023, proposto da </w:t>
      </w:r>
      <w:proofErr w:type="spellStart"/>
      <w:r>
        <w:t>Betpoint</w:t>
      </w:r>
      <w:proofErr w:type="spellEnd"/>
      <w:r>
        <w:t xml:space="preserve"> S.r.l., </w:t>
      </w:r>
    </w:p>
    <w:p w14:paraId="5F4BC7EE" w14:textId="77777777" w:rsidR="00123A8C" w:rsidRDefault="00123A8C" w:rsidP="00123A8C"/>
    <w:p w14:paraId="7941CD33" w14:textId="77777777" w:rsidR="00123A8C" w:rsidRDefault="00123A8C" w:rsidP="00123A8C">
      <w:r>
        <w:t>contro</w:t>
      </w:r>
    </w:p>
    <w:p w14:paraId="6C6A1243" w14:textId="77777777" w:rsidR="00123A8C" w:rsidRDefault="00123A8C" w:rsidP="00123A8C"/>
    <w:p w14:paraId="3C4B948B" w14:textId="77777777" w:rsidR="00123A8C" w:rsidRDefault="00123A8C" w:rsidP="00123A8C">
      <w:r>
        <w:t>l’Agenzia delle Dogane e dei Monopoli, in persona del Direttore pro tempore, e il Ministero dell'Economia e delle Finanze, in persona del Ministro pro tempore, rappresentati e difesi dall'Avvocatura generale dello Stato, domiciliata in Roma, via dei Portoghesi, 12;</w:t>
      </w:r>
    </w:p>
    <w:p w14:paraId="3A8E6A3E" w14:textId="77777777" w:rsidR="00123A8C" w:rsidRDefault="00123A8C" w:rsidP="00123A8C"/>
    <w:p w14:paraId="048EACE3" w14:textId="77777777" w:rsidR="00123A8C" w:rsidRDefault="00123A8C" w:rsidP="00123A8C">
      <w:r>
        <w:t>nei confronti</w:t>
      </w:r>
    </w:p>
    <w:p w14:paraId="708B2434" w14:textId="77777777" w:rsidR="00123A8C" w:rsidRDefault="00123A8C" w:rsidP="00123A8C"/>
    <w:p w14:paraId="24F8D162" w14:textId="77777777" w:rsidR="00123A8C" w:rsidRDefault="00123A8C" w:rsidP="00123A8C">
      <w:proofErr w:type="spellStart"/>
      <w:r>
        <w:t>Betflag</w:t>
      </w:r>
      <w:proofErr w:type="spellEnd"/>
      <w:r>
        <w:t xml:space="preserve"> S.p.A., </w:t>
      </w:r>
      <w:proofErr w:type="spellStart"/>
      <w:r>
        <w:t>Marathonbet</w:t>
      </w:r>
      <w:proofErr w:type="spellEnd"/>
      <w:r>
        <w:t xml:space="preserve"> </w:t>
      </w:r>
      <w:proofErr w:type="spellStart"/>
      <w:r>
        <w:t>Italy</w:t>
      </w:r>
      <w:proofErr w:type="spellEnd"/>
      <w:r>
        <w:t xml:space="preserve"> S.r.l., non costituiti in giudizio;</w:t>
      </w:r>
    </w:p>
    <w:p w14:paraId="7885650E" w14:textId="77777777" w:rsidR="00123A8C" w:rsidRDefault="00123A8C" w:rsidP="00123A8C"/>
    <w:p w14:paraId="3082BCBA" w14:textId="77777777" w:rsidR="00123A8C" w:rsidRDefault="00123A8C" w:rsidP="00123A8C"/>
    <w:p w14:paraId="228F021D" w14:textId="77777777" w:rsidR="00123A8C" w:rsidRDefault="00123A8C" w:rsidP="00123A8C"/>
    <w:p w14:paraId="6350E481" w14:textId="095DFB7B" w:rsidR="00123A8C" w:rsidRDefault="00123A8C" w:rsidP="00123A8C">
      <w:r>
        <w:t xml:space="preserve">sul ricorso numero di registro generale 7607 del 2023, proposto da F.lli Simone S.r.l., Tre Esse Scommesse S.r.l. e </w:t>
      </w:r>
      <w:proofErr w:type="spellStart"/>
      <w:r>
        <w:t>Ribot</w:t>
      </w:r>
      <w:proofErr w:type="spellEnd"/>
      <w:r>
        <w:t xml:space="preserve"> S.r.l., </w:t>
      </w:r>
    </w:p>
    <w:p w14:paraId="315B1E21" w14:textId="77777777" w:rsidR="00123A8C" w:rsidRDefault="00123A8C" w:rsidP="00123A8C"/>
    <w:p w14:paraId="0F9F95BC" w14:textId="77777777" w:rsidR="00123A8C" w:rsidRDefault="00123A8C" w:rsidP="00123A8C">
      <w:r>
        <w:t>contro</w:t>
      </w:r>
    </w:p>
    <w:p w14:paraId="783FF42E" w14:textId="77777777" w:rsidR="00123A8C" w:rsidRDefault="00123A8C" w:rsidP="00123A8C"/>
    <w:p w14:paraId="48879354" w14:textId="77777777" w:rsidR="00123A8C" w:rsidRDefault="00123A8C" w:rsidP="00123A8C">
      <w:r>
        <w:lastRenderedPageBreak/>
        <w:t>l’Agenzia delle Dogane e dei Monopoli, in persona del Direttore pro tempore, e il Ministero dell'Economia e delle Finanze, in persona del Ministro pro tempore, rappresentati e difesi dall'Avvocatura generale dello Stato, domiciliata in Roma, via dei Portoghesi, 12;</w:t>
      </w:r>
    </w:p>
    <w:p w14:paraId="142BD8DB" w14:textId="77777777" w:rsidR="00123A8C" w:rsidRDefault="00123A8C" w:rsidP="00123A8C"/>
    <w:p w14:paraId="712B0D24" w14:textId="77777777" w:rsidR="00123A8C" w:rsidRDefault="00123A8C" w:rsidP="00123A8C">
      <w:r>
        <w:t>nei confronti</w:t>
      </w:r>
    </w:p>
    <w:p w14:paraId="1BA41824" w14:textId="77777777" w:rsidR="00123A8C" w:rsidRDefault="00123A8C" w:rsidP="00123A8C"/>
    <w:p w14:paraId="013ECC83" w14:textId="77777777" w:rsidR="00123A8C" w:rsidRDefault="00123A8C" w:rsidP="00123A8C">
      <w:proofErr w:type="spellStart"/>
      <w:r>
        <w:t>Betflag</w:t>
      </w:r>
      <w:proofErr w:type="spellEnd"/>
      <w:r>
        <w:t xml:space="preserve"> S.p.A., </w:t>
      </w:r>
      <w:proofErr w:type="spellStart"/>
      <w:r>
        <w:t>Marathonbet</w:t>
      </w:r>
      <w:proofErr w:type="spellEnd"/>
      <w:r>
        <w:t xml:space="preserve"> </w:t>
      </w:r>
      <w:proofErr w:type="spellStart"/>
      <w:r>
        <w:t>Italy</w:t>
      </w:r>
      <w:proofErr w:type="spellEnd"/>
      <w:r>
        <w:t xml:space="preserve"> S.r.l., non costituiti in giudizio;</w:t>
      </w:r>
    </w:p>
    <w:p w14:paraId="6138703D" w14:textId="77777777" w:rsidR="00123A8C" w:rsidRDefault="00123A8C" w:rsidP="00123A8C"/>
    <w:p w14:paraId="4D36CC45" w14:textId="77777777" w:rsidR="00123A8C" w:rsidRDefault="00123A8C" w:rsidP="00123A8C"/>
    <w:p w14:paraId="4A475EE3" w14:textId="77777777" w:rsidR="00123A8C" w:rsidRDefault="00123A8C" w:rsidP="00123A8C"/>
    <w:p w14:paraId="2F1012EB" w14:textId="758558E0" w:rsidR="00123A8C" w:rsidRDefault="00123A8C" w:rsidP="00123A8C">
      <w:r>
        <w:t xml:space="preserve">sul ricorso numero di registro generale 7850 del 2023, proposto da </w:t>
      </w:r>
      <w:proofErr w:type="spellStart"/>
      <w:r>
        <w:t>Betclic</w:t>
      </w:r>
      <w:proofErr w:type="spellEnd"/>
      <w:r>
        <w:t xml:space="preserve"> Ltd, </w:t>
      </w:r>
    </w:p>
    <w:p w14:paraId="16B27CCB" w14:textId="77777777" w:rsidR="00123A8C" w:rsidRDefault="00123A8C" w:rsidP="00123A8C"/>
    <w:p w14:paraId="586A2CCB" w14:textId="77777777" w:rsidR="00123A8C" w:rsidRDefault="00123A8C" w:rsidP="00123A8C">
      <w:r>
        <w:t>contro</w:t>
      </w:r>
    </w:p>
    <w:p w14:paraId="7C4558A9" w14:textId="77777777" w:rsidR="00123A8C" w:rsidRDefault="00123A8C" w:rsidP="00123A8C"/>
    <w:p w14:paraId="0B674156" w14:textId="77777777" w:rsidR="00123A8C" w:rsidRDefault="00123A8C" w:rsidP="00123A8C">
      <w:r>
        <w:t>l’Agenzia delle Dogane e dei Monopoli, in persona del Direttore pro tempore, e il Ministero dell'Economia e delle Finanze, in persona del Ministro pro tempore, rappresentati e difesi dall'Avvocatura generale dello Stato, domiciliata in Roma, via dei Portoghesi, 12;</w:t>
      </w:r>
    </w:p>
    <w:p w14:paraId="13423020" w14:textId="77777777" w:rsidR="00123A8C" w:rsidRDefault="00123A8C" w:rsidP="00123A8C"/>
    <w:p w14:paraId="6D3CF1B9" w14:textId="77777777" w:rsidR="00123A8C" w:rsidRDefault="00123A8C" w:rsidP="00123A8C">
      <w:r>
        <w:t>nei confronti</w:t>
      </w:r>
    </w:p>
    <w:p w14:paraId="56122597" w14:textId="77777777" w:rsidR="00123A8C" w:rsidRDefault="00123A8C" w:rsidP="00123A8C"/>
    <w:p w14:paraId="1138F48A" w14:textId="77777777" w:rsidR="00123A8C" w:rsidRDefault="00123A8C" w:rsidP="00123A8C">
      <w:proofErr w:type="spellStart"/>
      <w:r>
        <w:t>Betflag</w:t>
      </w:r>
      <w:proofErr w:type="spellEnd"/>
      <w:r>
        <w:t xml:space="preserve"> S.p.A., Sisal Italia, non costituiti in giudizio;</w:t>
      </w:r>
    </w:p>
    <w:p w14:paraId="510A0E13" w14:textId="77777777" w:rsidR="00123A8C" w:rsidRDefault="00123A8C" w:rsidP="00123A8C"/>
    <w:p w14:paraId="09CAD4BC" w14:textId="77777777" w:rsidR="00123A8C" w:rsidRDefault="00123A8C" w:rsidP="00123A8C"/>
    <w:p w14:paraId="454FDE01" w14:textId="77777777" w:rsidR="00123A8C" w:rsidRDefault="00123A8C" w:rsidP="00123A8C"/>
    <w:p w14:paraId="24049E90" w14:textId="17AF7640" w:rsidR="00123A8C" w:rsidRDefault="00123A8C" w:rsidP="00123A8C">
      <w:r>
        <w:t xml:space="preserve">sul ricorso numero di registro generale 8112 del 2023, proposto da William Hill Malta </w:t>
      </w:r>
      <w:proofErr w:type="spellStart"/>
      <w:r>
        <w:t>Plc</w:t>
      </w:r>
      <w:proofErr w:type="spellEnd"/>
      <w:r>
        <w:t xml:space="preserve">, </w:t>
      </w:r>
    </w:p>
    <w:p w14:paraId="6043B7C1" w14:textId="77777777" w:rsidR="00123A8C" w:rsidRDefault="00123A8C" w:rsidP="00123A8C"/>
    <w:p w14:paraId="20ED3EDB" w14:textId="77777777" w:rsidR="00123A8C" w:rsidRDefault="00123A8C" w:rsidP="00123A8C">
      <w:r>
        <w:t>contro</w:t>
      </w:r>
    </w:p>
    <w:p w14:paraId="489125EF" w14:textId="77777777" w:rsidR="00123A8C" w:rsidRDefault="00123A8C" w:rsidP="00123A8C"/>
    <w:p w14:paraId="03691B84" w14:textId="77777777" w:rsidR="00123A8C" w:rsidRDefault="00123A8C" w:rsidP="00123A8C">
      <w:r>
        <w:t>l’Agenzia delle Dogane e dei Monopoli, in persona del Direttore pro tempore, e il Ministero dell'Economia e delle Finanze, in persona del Ministro pro tempore, rappresentati e difesi dall'Avvocatura generale dello Stato, domiciliata in Roma, via dei Portoghesi, 12;</w:t>
      </w:r>
    </w:p>
    <w:p w14:paraId="72515AB0" w14:textId="77777777" w:rsidR="00123A8C" w:rsidRDefault="00123A8C" w:rsidP="00123A8C"/>
    <w:p w14:paraId="3610F392" w14:textId="77777777" w:rsidR="00123A8C" w:rsidRDefault="00123A8C" w:rsidP="00123A8C">
      <w:r>
        <w:t>nei confronti</w:t>
      </w:r>
    </w:p>
    <w:p w14:paraId="435CF597" w14:textId="77777777" w:rsidR="00123A8C" w:rsidRDefault="00123A8C" w:rsidP="00123A8C"/>
    <w:p w14:paraId="60467B9E" w14:textId="77777777" w:rsidR="00123A8C" w:rsidRDefault="00123A8C" w:rsidP="00123A8C">
      <w:proofErr w:type="spellStart"/>
      <w:r>
        <w:t>Betflag</w:t>
      </w:r>
      <w:proofErr w:type="spellEnd"/>
      <w:r>
        <w:t xml:space="preserve"> S.p.A., Sisal Italia S.p.A., non costituiti in giudizio;</w:t>
      </w:r>
    </w:p>
    <w:p w14:paraId="0B014D78" w14:textId="77777777" w:rsidR="00123A8C" w:rsidRDefault="00123A8C" w:rsidP="00123A8C"/>
    <w:p w14:paraId="4C05ABBE" w14:textId="77777777" w:rsidR="00123A8C" w:rsidRDefault="00123A8C" w:rsidP="00123A8C"/>
    <w:p w14:paraId="109A65E1" w14:textId="77777777" w:rsidR="00123A8C" w:rsidRDefault="00123A8C" w:rsidP="00123A8C"/>
    <w:p w14:paraId="0E4311A7" w14:textId="415825E1" w:rsidR="00123A8C" w:rsidRDefault="00123A8C" w:rsidP="00123A8C">
      <w:r>
        <w:t xml:space="preserve">sul ricorso numero di registro generale 8228 del 2023, proposto da 888 Italia Ltd, </w:t>
      </w:r>
      <w:bookmarkStart w:id="0" w:name="_GoBack"/>
      <w:bookmarkEnd w:id="0"/>
    </w:p>
    <w:p w14:paraId="3E08EDE3" w14:textId="77777777" w:rsidR="00123A8C" w:rsidRDefault="00123A8C" w:rsidP="00123A8C"/>
    <w:p w14:paraId="779AFC79" w14:textId="77777777" w:rsidR="00123A8C" w:rsidRDefault="00123A8C" w:rsidP="00123A8C">
      <w:r>
        <w:t>contro</w:t>
      </w:r>
    </w:p>
    <w:p w14:paraId="0FD49416" w14:textId="77777777" w:rsidR="00123A8C" w:rsidRDefault="00123A8C" w:rsidP="00123A8C"/>
    <w:p w14:paraId="6941D9A5" w14:textId="77777777" w:rsidR="00123A8C" w:rsidRDefault="00123A8C" w:rsidP="00123A8C">
      <w:r>
        <w:t>l’Agenzia delle Dogane e dei Monopoli, in persona del Direttore pro tempore, e il Ministero dell'Economia e delle Finanze, in persona del Ministro pro tempore, rappresentati e difesi dall'Avvocatura generale dello Stato, domiciliata in Roma, via dei Portoghesi, 12;</w:t>
      </w:r>
    </w:p>
    <w:p w14:paraId="1E477DFD" w14:textId="77777777" w:rsidR="00123A8C" w:rsidRDefault="00123A8C" w:rsidP="00123A8C"/>
    <w:p w14:paraId="37B90DBB" w14:textId="77777777" w:rsidR="00123A8C" w:rsidRDefault="00123A8C" w:rsidP="00123A8C">
      <w:r>
        <w:t>nei confronti</w:t>
      </w:r>
    </w:p>
    <w:p w14:paraId="515088F6" w14:textId="77777777" w:rsidR="00123A8C" w:rsidRDefault="00123A8C" w:rsidP="00123A8C"/>
    <w:p w14:paraId="19A330E4" w14:textId="77777777" w:rsidR="00123A8C" w:rsidRDefault="00123A8C" w:rsidP="00123A8C">
      <w:proofErr w:type="spellStart"/>
      <w:r>
        <w:t>Betflag</w:t>
      </w:r>
      <w:proofErr w:type="spellEnd"/>
      <w:r>
        <w:t xml:space="preserve"> S.p.A., Sisal Italia S.p.A. (Già Sisal Entertainment S.p.A.), non costituiti in giudizio;</w:t>
      </w:r>
    </w:p>
    <w:p w14:paraId="24976768" w14:textId="77777777" w:rsidR="00123A8C" w:rsidRDefault="00123A8C" w:rsidP="00123A8C"/>
    <w:p w14:paraId="5F66CCAF" w14:textId="77777777" w:rsidR="00123A8C" w:rsidRDefault="00123A8C" w:rsidP="00123A8C">
      <w:r>
        <w:t>per la riforma</w:t>
      </w:r>
    </w:p>
    <w:p w14:paraId="05C72F7E" w14:textId="77777777" w:rsidR="00123A8C" w:rsidRDefault="00123A8C" w:rsidP="00123A8C"/>
    <w:p w14:paraId="4575A70D" w14:textId="77777777" w:rsidR="00123A8C" w:rsidRDefault="00123A8C" w:rsidP="00123A8C">
      <w:r>
        <w:t>della sentenza del Tribunale Amministrativo Regionale per il Lazio (Sezione Seconda) n. 13008/2023</w:t>
      </w:r>
    </w:p>
    <w:p w14:paraId="4D9672FE" w14:textId="77777777" w:rsidR="00123A8C" w:rsidRDefault="00123A8C" w:rsidP="00123A8C"/>
    <w:p w14:paraId="1FC648E0" w14:textId="77777777" w:rsidR="00123A8C" w:rsidRDefault="00123A8C" w:rsidP="00123A8C"/>
    <w:p w14:paraId="14E6819C" w14:textId="77777777" w:rsidR="00123A8C" w:rsidRDefault="00123A8C" w:rsidP="00123A8C">
      <w:r>
        <w:t>Visti i ricorsi in appello e i relativi allegati;</w:t>
      </w:r>
    </w:p>
    <w:p w14:paraId="6A06F50B" w14:textId="77777777" w:rsidR="00123A8C" w:rsidRDefault="00123A8C" w:rsidP="00123A8C"/>
    <w:p w14:paraId="27F389C1" w14:textId="77777777" w:rsidR="00123A8C" w:rsidRDefault="00123A8C" w:rsidP="00123A8C">
      <w:r>
        <w:t>Visti gli atti di costituzione in giudizio dell’Agenzia delle Dogane e dei Monopoli e del Ministero dell'Economia e delle Finanze, nell’ambito dei rispettivi ricorsi;</w:t>
      </w:r>
    </w:p>
    <w:p w14:paraId="44F87406" w14:textId="77777777" w:rsidR="00123A8C" w:rsidRDefault="00123A8C" w:rsidP="00123A8C"/>
    <w:p w14:paraId="0A87EBE4" w14:textId="77777777" w:rsidR="00123A8C" w:rsidRDefault="00123A8C" w:rsidP="00123A8C">
      <w:r>
        <w:t>Visti tutti gli atti della causa;</w:t>
      </w:r>
    </w:p>
    <w:p w14:paraId="1B7137E9" w14:textId="77777777" w:rsidR="00123A8C" w:rsidRDefault="00123A8C" w:rsidP="00123A8C"/>
    <w:p w14:paraId="617AB451" w14:textId="77777777" w:rsidR="00123A8C" w:rsidRDefault="00123A8C" w:rsidP="00123A8C">
      <w:r>
        <w:t xml:space="preserve">Relatore nell'udienza pubblica del giorno 5 dicembre 2023 il </w:t>
      </w:r>
      <w:proofErr w:type="spellStart"/>
      <w:r>
        <w:t>Cons</w:t>
      </w:r>
      <w:proofErr w:type="spellEnd"/>
      <w:r>
        <w:t xml:space="preserve">. Daniela Di Carlo e uditi per le parti private gli avvocati Alessandro Gigli, Valerie </w:t>
      </w:r>
      <w:proofErr w:type="spellStart"/>
      <w:r>
        <w:t>Peano</w:t>
      </w:r>
      <w:proofErr w:type="spellEnd"/>
      <w:r>
        <w:t xml:space="preserve">, Matilde </w:t>
      </w:r>
      <w:proofErr w:type="spellStart"/>
      <w:r>
        <w:t>Tariciotti</w:t>
      </w:r>
      <w:proofErr w:type="spellEnd"/>
      <w:r>
        <w:t xml:space="preserve"> (anche in sostituzione dell'avvocato Annalisa </w:t>
      </w:r>
      <w:proofErr w:type="spellStart"/>
      <w:r>
        <w:t>Lauteri</w:t>
      </w:r>
      <w:proofErr w:type="spellEnd"/>
      <w:r>
        <w:t>), Luca Giacobbe e Fabio Ferraro; e l'avvocato dello Stato Laura Delbono;</w:t>
      </w:r>
    </w:p>
    <w:p w14:paraId="3B647CFD" w14:textId="77777777" w:rsidR="00123A8C" w:rsidRDefault="00123A8C" w:rsidP="00123A8C"/>
    <w:p w14:paraId="191BCF87" w14:textId="77777777" w:rsidR="00123A8C" w:rsidRDefault="00123A8C" w:rsidP="00123A8C">
      <w:r>
        <w:t>Ritenuto e considerato in fatto e diritto quanto segue.</w:t>
      </w:r>
    </w:p>
    <w:p w14:paraId="5AF52ACF" w14:textId="77777777" w:rsidR="00123A8C" w:rsidRDefault="00123A8C" w:rsidP="00123A8C"/>
    <w:p w14:paraId="0A782CF5" w14:textId="77777777" w:rsidR="00123A8C" w:rsidRDefault="00123A8C" w:rsidP="00123A8C"/>
    <w:p w14:paraId="3F6159BE" w14:textId="77777777" w:rsidR="00123A8C" w:rsidRDefault="00123A8C" w:rsidP="00123A8C">
      <w:r>
        <w:t xml:space="preserve">FATTO </w:t>
      </w:r>
      <w:proofErr w:type="gramStart"/>
      <w:r>
        <w:t>e</w:t>
      </w:r>
      <w:proofErr w:type="gramEnd"/>
      <w:r>
        <w:t xml:space="preserve"> DIRITTO</w:t>
      </w:r>
    </w:p>
    <w:p w14:paraId="14BCA458" w14:textId="77777777" w:rsidR="00123A8C" w:rsidRDefault="00123A8C" w:rsidP="00123A8C"/>
    <w:p w14:paraId="23F9810A" w14:textId="77777777" w:rsidR="00123A8C" w:rsidRDefault="00123A8C" w:rsidP="00123A8C">
      <w:r>
        <w:t xml:space="preserve">1. Le società ricorrenti, in qualità di concessionarie della raccolta da scommesse relative a eventi sportivi di ogni genere, hanno appellato la sentenza in epigrafe, con cui il Tar del Lazio – Sede di Roma- ha riunito e respinto, tra gli altri, i ricorsi dalle medesime proposti per l’annullamento della determinazione direttoriale </w:t>
      </w:r>
      <w:proofErr w:type="spellStart"/>
      <w:r>
        <w:t>prot</w:t>
      </w:r>
      <w:proofErr w:type="spellEnd"/>
      <w:r>
        <w:t xml:space="preserve">. n. 10337/RU del 5 gennaio 2023, con cui l’Agenzia delle Dogane e dei Monopoli aveva disposto “l’annullamento, in autotutela, ai sensi della Legge 7 agosto 1990, n. 241, articolo 21 </w:t>
      </w:r>
      <w:proofErr w:type="spellStart"/>
      <w:r>
        <w:t>nonies</w:t>
      </w:r>
      <w:proofErr w:type="spellEnd"/>
      <w:r>
        <w:t xml:space="preserve">, della Determinazione Direttoriale </w:t>
      </w:r>
      <w:proofErr w:type="spellStart"/>
      <w:r>
        <w:t>prot</w:t>
      </w:r>
      <w:proofErr w:type="spellEnd"/>
      <w:r>
        <w:t xml:space="preserve">. n. 5721/RU dell’8 gennaio 2022 e delle note, trasmesse ai concessionari, di invito a effettuare i versamenti delle somme destinate ad alimentare il Fondo per il rilancio del sistema sportivo nazionale, calcolate in applicazione dei criteri esposti in detta Determinazione Direttoriale”, nonché le singole note con le quali la medesima Agenzia aveva comunicato loro le rinnovate quantificazioni degli importi aggiuntivi dovuti a titolo di versamento dell'importo dello 0,5 per cento della raccolta delle scommesse di cui all'art. 217, del decreto-legge 19 maggio 2020, n. 34 (in </w:t>
      </w:r>
      <w:proofErr w:type="spellStart"/>
      <w:r>
        <w:t>Suppl</w:t>
      </w:r>
      <w:proofErr w:type="spellEnd"/>
      <w:r>
        <w:t xml:space="preserve">. </w:t>
      </w:r>
      <w:proofErr w:type="spellStart"/>
      <w:r>
        <w:t>Ord</w:t>
      </w:r>
      <w:proofErr w:type="spellEnd"/>
      <w:r>
        <w:t xml:space="preserve">. n. 21 alla </w:t>
      </w:r>
      <w:proofErr w:type="spellStart"/>
      <w:r>
        <w:t>Gazz</w:t>
      </w:r>
      <w:proofErr w:type="spellEnd"/>
      <w:r>
        <w:t>. Uff., 19 maggio 2020, n. 128) convertito, con modificazioni, dalla legge 17 luglio 2020, n. 77, recante le Misure urgenti in materia di salute, sostegno al lavoro e all'economia, nonché di politiche sociali connesse all'emergenza epidemiologica da COVID-19 (cd. DECRETO RILANCIO).</w:t>
      </w:r>
    </w:p>
    <w:p w14:paraId="35D81188" w14:textId="77777777" w:rsidR="00123A8C" w:rsidRDefault="00123A8C" w:rsidP="00123A8C"/>
    <w:p w14:paraId="3D257163" w14:textId="77777777" w:rsidR="00123A8C" w:rsidRDefault="00123A8C" w:rsidP="00123A8C">
      <w:r>
        <w:t>In particolare, l’effetto lesivo per le società ricorrenti derivava dal fatto di essere considerate soggetti passivi dell’imposta indiretta nella percentuale dello 0,5% sulle complessive entrate derivanti dalla raccolta delle scommesse per il periodo di riferimento, anziché fino alle sole soglie massime previste per il finanziamento del Fondo per il rilancio del sistema sportivo nazionale (40 milioni di euro per l'anno 2020 e 50 milioni di euro per l'anno 2021).</w:t>
      </w:r>
    </w:p>
    <w:p w14:paraId="607BBAC7" w14:textId="77777777" w:rsidR="00123A8C" w:rsidRDefault="00123A8C" w:rsidP="00123A8C"/>
    <w:p w14:paraId="05B96001" w14:textId="77777777" w:rsidR="00123A8C" w:rsidRDefault="00123A8C" w:rsidP="00123A8C">
      <w:r>
        <w:t xml:space="preserve">La controversia, quindi, è bene preliminarmente chiarirlo, non concerne il pagamento degli importi dovuti, per il periodo di riferimento, fino al raggiungimento dei suddetti limiti di stanziamento, necessari a coprire la spesa di costituzione e funzionamento del Fondo (importi tutti già interamente versati e dei quali i concessionari non contestano la </w:t>
      </w:r>
      <w:proofErr w:type="spellStart"/>
      <w:r>
        <w:lastRenderedPageBreak/>
        <w:t>debenza</w:t>
      </w:r>
      <w:proofErr w:type="spellEnd"/>
      <w:r>
        <w:t>), ma riguarda invece gli importi aggiuntivi loro richiesti in pagamento, calcolati sempre nella percentuale dello 0,5% per il periodo di riferimento, ma su tutte le complessive entrate provenienti dalla raccolta delle scommesse, a prescindere dal già avvenuto raggiungimento delle soglie di finanziamento del Fondo.</w:t>
      </w:r>
    </w:p>
    <w:p w14:paraId="33A4B592" w14:textId="77777777" w:rsidR="00123A8C" w:rsidRDefault="00123A8C" w:rsidP="00123A8C"/>
    <w:p w14:paraId="50D66626" w14:textId="77777777" w:rsidR="00123A8C" w:rsidRDefault="00123A8C" w:rsidP="00123A8C">
      <w:r>
        <w:t>2. I ricorsi venivano affidati a plurime censure di violazione di legge e di eccesso di potere, tra cui, in particolare: a) la violazione dei limiti che la legge impone alla PA per l’esercizio del potere di autotutela ai sensi dell’art. 21-nonies della legge n. 241 del 1990); b) la lesione del principio del legittimo affidamento, avendo l’Agenzia delle Dogane e dei Monopoli (di seguito, l’Agenzia) impiegato più di due anni per ribaltare una prassi interpretativa che si era ormai consolidata circa l’interpretazione della normativa recata dall’art. 217, comma 2, decreto-legge n. 34/2020; c) la violazione delle garanzie procedimentali di cui agli artt. 7 e seguenti della legge n. 241 del 1990; d) il difetto di istruttoria e di motivazione; e) l’erronea interpretazione della succitata norma recata dall’art. 217, comma 2, decreto-legge n. 34/2020, il cui unico dichiarato scopo sarebbe, ad avviso delle società ricorrenti, quello di costituire e finanziare un fondo speciale salva-sport e non, invece, come preteso dall’Amministrazione, anche quello di introdurre un ulteriore prelievo erariale generale strumentale ad imprecisate esigenze di finanza pubblica slegate dal finanziamento del suddetto fondo; g) l’erronea individuazione della base imponibile del contributo dovuto, così come effettuata dalla impugnata determinazione direttoriale del 5 gennaio 2023, in quanto in contrasto con la base imponibile identificata dalla base legale di cui al citato art. 217.</w:t>
      </w:r>
    </w:p>
    <w:p w14:paraId="4C199DEA" w14:textId="77777777" w:rsidR="00123A8C" w:rsidRDefault="00123A8C" w:rsidP="00123A8C"/>
    <w:p w14:paraId="0DCBF93F" w14:textId="77777777" w:rsidR="00123A8C" w:rsidRDefault="00123A8C" w:rsidP="00123A8C">
      <w:r>
        <w:t>I ricorsi sollecitavano, inoltre, in via subordinata, per il caso del mancato accoglimento delle doglianze così prospettate, il rinvio pregiudiziale interpretativo ai sensi dell’art. 267, TFUE, ovvero la rimessione in Corte costituzionale della questione di legittimità costituzionale ivi prospettata.</w:t>
      </w:r>
    </w:p>
    <w:p w14:paraId="65259431" w14:textId="77777777" w:rsidR="00123A8C" w:rsidRDefault="00123A8C" w:rsidP="00123A8C"/>
    <w:p w14:paraId="6DB2FF61" w14:textId="77777777" w:rsidR="00123A8C" w:rsidRDefault="00123A8C" w:rsidP="00123A8C">
      <w:r>
        <w:t>3. Il Tar del Lazio adito ha esaminato e respinto partitamente tutte le censure proposte, motivando anche in ordine alla insussistenza delle condizioni per adire le Corti superiori con le prospettate questioni pregiudiziali, tuttavia compensando le spese del giudizio.</w:t>
      </w:r>
    </w:p>
    <w:p w14:paraId="06FC1571" w14:textId="77777777" w:rsidR="00123A8C" w:rsidRDefault="00123A8C" w:rsidP="00123A8C"/>
    <w:p w14:paraId="0FCF446E" w14:textId="77777777" w:rsidR="00123A8C" w:rsidRDefault="00123A8C" w:rsidP="00123A8C">
      <w:r>
        <w:t xml:space="preserve">4. Le società ricorrenti hanno riproposto tutti gli originari motivi di ricorso di primo grado, articolandoli quali specifiche censure contro i capi della sentenza gravata ai sensi dell’art. 101, </w:t>
      </w:r>
      <w:proofErr w:type="spellStart"/>
      <w:r>
        <w:t>c.p.a</w:t>
      </w:r>
      <w:proofErr w:type="spellEnd"/>
      <w:r>
        <w:t>., così sostanzialmente devolvendo alla odierna cognizione tutta l’originaria materia del contendere.</w:t>
      </w:r>
    </w:p>
    <w:p w14:paraId="1D80E22A" w14:textId="77777777" w:rsidR="00123A8C" w:rsidRDefault="00123A8C" w:rsidP="00123A8C"/>
    <w:p w14:paraId="7471338E" w14:textId="77777777" w:rsidR="00123A8C" w:rsidRDefault="00123A8C" w:rsidP="00123A8C">
      <w:r>
        <w:t>5. L’Agenzia delle Dogane e dei Monopoli e il Ministero dell’Economia e delle Finanze hanno resistito al gravame, insistendo ancora sulla legittimità del proprio operato e sulla conseguente necessità di confermare la sentenza di primo grado.</w:t>
      </w:r>
    </w:p>
    <w:p w14:paraId="35D3C7AC" w14:textId="77777777" w:rsidR="00123A8C" w:rsidRDefault="00123A8C" w:rsidP="00123A8C"/>
    <w:p w14:paraId="189FD958" w14:textId="77777777" w:rsidR="00123A8C" w:rsidRDefault="00123A8C" w:rsidP="00123A8C">
      <w:r>
        <w:t>6. Con l’ordinanza cautelare n. 3517/2023, la Sezione ha ritenuto sussistenti le condizioni per sospendere l’esecutività della sentenza appellata, “anche avuto riguardo, nel bilanciamento dei contrapposti interessi, sia all’interesse pubblico generale a che l’attività di riscossione sia esercitata entro un quadro di plausibile certezza, anche per evitare inutile dispendio di attività amministrativa nel caso si dovesse far poi luogo alle restituzioni, sia alla tutela dell’attività impresa, attesa l’ingente entità delle somme richieste e l’impatto che le stesse avrebbero sul bilancio delle società interessate”.</w:t>
      </w:r>
    </w:p>
    <w:p w14:paraId="4761BFDD" w14:textId="77777777" w:rsidR="00123A8C" w:rsidRDefault="00123A8C" w:rsidP="00123A8C"/>
    <w:p w14:paraId="0C0A5249" w14:textId="77777777" w:rsidR="00123A8C" w:rsidRDefault="00123A8C" w:rsidP="00123A8C">
      <w:r>
        <w:lastRenderedPageBreak/>
        <w:t xml:space="preserve">7. La causa è stata discussa dalle parti ed è stata trattenuta in decisione dal Collegio alla udienza pubblica del 5 dicembre 2023, ed è infine stata decisa alla camera di consiglio del 19 febbraio 2024 così differita ai sensi dell’art. 75, comma 2, </w:t>
      </w:r>
      <w:proofErr w:type="spellStart"/>
      <w:proofErr w:type="gramStart"/>
      <w:r>
        <w:t>c.p.a</w:t>
      </w:r>
      <w:proofErr w:type="spellEnd"/>
      <w:r>
        <w:t>..</w:t>
      </w:r>
      <w:proofErr w:type="gramEnd"/>
    </w:p>
    <w:p w14:paraId="03037B90" w14:textId="77777777" w:rsidR="00123A8C" w:rsidRDefault="00123A8C" w:rsidP="00123A8C"/>
    <w:p w14:paraId="37A7E9E7" w14:textId="77777777" w:rsidR="00123A8C" w:rsidRDefault="00123A8C" w:rsidP="00123A8C">
      <w:r>
        <w:t xml:space="preserve">8. In via preliminare vanno riunite tutte le impugnazioni proposte separatamente contro la stessa sentenza ai sensi dell’art. 96, comma 1, </w:t>
      </w:r>
      <w:proofErr w:type="spellStart"/>
      <w:proofErr w:type="gramStart"/>
      <w:r>
        <w:t>c.p.a</w:t>
      </w:r>
      <w:proofErr w:type="spellEnd"/>
      <w:r>
        <w:t>..</w:t>
      </w:r>
      <w:proofErr w:type="gramEnd"/>
    </w:p>
    <w:p w14:paraId="3FC50B4D" w14:textId="77777777" w:rsidR="00123A8C" w:rsidRDefault="00123A8C" w:rsidP="00123A8C"/>
    <w:p w14:paraId="054F654A" w14:textId="77777777" w:rsidR="00123A8C" w:rsidRDefault="00123A8C" w:rsidP="00123A8C">
      <w:r>
        <w:t xml:space="preserve">9. Nel merito, stante l’assenza di un preciso ordine di graduazione delle censure e sussistendo specifiche ragioni di economia processuale, ritiene il Collegio che, secondo il principio della ragione più liquida, debba essere esaminato con priorità logico-giuridica il motivo di appello, </w:t>
      </w:r>
      <w:proofErr w:type="spellStart"/>
      <w:r>
        <w:t>ripropositivo</w:t>
      </w:r>
      <w:proofErr w:type="spellEnd"/>
      <w:r>
        <w:t xml:space="preserve"> del corrispondente motivo di primo grado, che, se fondato, condurrebbe ad annullare gli atti impugnati con il massimo grado di </w:t>
      </w:r>
      <w:proofErr w:type="spellStart"/>
      <w:r>
        <w:t>satisfattività</w:t>
      </w:r>
      <w:proofErr w:type="spellEnd"/>
      <w:r>
        <w:t xml:space="preserve"> per la pretesa giuridica azionata dalle società ricorrenti.</w:t>
      </w:r>
    </w:p>
    <w:p w14:paraId="51ED72F7" w14:textId="77777777" w:rsidR="00123A8C" w:rsidRDefault="00123A8C" w:rsidP="00123A8C"/>
    <w:p w14:paraId="1D605895" w14:textId="77777777" w:rsidR="00123A8C" w:rsidRDefault="00123A8C" w:rsidP="00123A8C">
      <w:r>
        <w:t>Ad avviso del Collegio, per evidenti ragioni legate alla sussistenza stessa del presupposto legale impositivo, la questione giuridica principale è quella se, al di là della asserita mancata osservanza delle garanzie procedimentali partecipative e della lamentata insussistenza delle condizioni, soprattutto temporali, per fare luogo all’autotutela amministrativa, sussista o meno, in radice, la base legale in virtù della quale l’Amministrazione finanziaria e, per essa, lo Stato, pretendono oggi dalle società ricorrenti il pagamento dei suddetti importi aggiuntivi.</w:t>
      </w:r>
    </w:p>
    <w:p w14:paraId="1433005B" w14:textId="77777777" w:rsidR="00123A8C" w:rsidRDefault="00123A8C" w:rsidP="00123A8C"/>
    <w:p w14:paraId="03A16DB1" w14:textId="77777777" w:rsidR="00123A8C" w:rsidRDefault="00123A8C" w:rsidP="00123A8C">
      <w:r>
        <w:t>Le tesi interpretative che si frappongono riposano, difatti, sulla distinzione tra la posizione difesa dall’Avvocatura generale dello Stato e accolta dalla sentenza impugnata, secondo cui il limite massimo allo stanziamento riguarderebbe la sola parte di prelievo destinata ad alimentare il Fondo e non anche la misura massima del prelievo al quale sarebbero assoggettabili gli operatori economici del settore, e quella propugnata dalle società ricorrenti, secondo cui il limite allo stanziamento del Fondo fungerebbe anche da limite implicito al prelievo, in virtù del legame teleologico impresso dalla decretazione d’urgenza al prelievo medesimo per il perseguimento della specifica finalità solidaristica consistente nel dotare il Fondo delle sole risorse necessarie per potere operare.</w:t>
      </w:r>
    </w:p>
    <w:p w14:paraId="62F9CF7A" w14:textId="77777777" w:rsidR="00123A8C" w:rsidRDefault="00123A8C" w:rsidP="00123A8C"/>
    <w:p w14:paraId="249973A8" w14:textId="77777777" w:rsidR="00123A8C" w:rsidRDefault="00123A8C" w:rsidP="00123A8C">
      <w:r>
        <w:t xml:space="preserve">10. Tale essendo la questione di fondo controversa, ritiene il Collegio che il ragionamento logico-giuridico sul quale il primo giudice ha incentrato la reiezione dei ricorsi non possa condividersi, dovendosi, anzi, al contrario, ritenere che, tra le due frapposte opzioni ermeneutiche, quella che aderisce al dettato normativo secondo il principio di legalità e che risponde alla sottesa ratio </w:t>
      </w:r>
      <w:proofErr w:type="spellStart"/>
      <w:r>
        <w:t>legis</w:t>
      </w:r>
      <w:proofErr w:type="spellEnd"/>
      <w:r>
        <w:t>, è la tesi propugnata dalle società ricorrenti.</w:t>
      </w:r>
    </w:p>
    <w:p w14:paraId="2DF6C2EF" w14:textId="77777777" w:rsidR="00123A8C" w:rsidRDefault="00123A8C" w:rsidP="00123A8C"/>
    <w:p w14:paraId="6EA10890" w14:textId="77777777" w:rsidR="00123A8C" w:rsidRDefault="00123A8C" w:rsidP="00123A8C">
      <w:r>
        <w:t>In particolare, ad avviso del Collegio, sono decisive in tal senso le considerazioni giuridiche ritraibili prima di tutto dal sistema normativo nazionale, e poi anche da quello euro-unitario, sulla base dei principi dei Trattati, così come costantemente interpretati dalla giurisprudenza della Corte di Giustizia.</w:t>
      </w:r>
    </w:p>
    <w:p w14:paraId="32D26FEE" w14:textId="77777777" w:rsidR="00123A8C" w:rsidRDefault="00123A8C" w:rsidP="00123A8C"/>
    <w:p w14:paraId="4E1CBB6D" w14:textId="77777777" w:rsidR="00123A8C" w:rsidRDefault="00123A8C" w:rsidP="00123A8C">
      <w:r>
        <w:t>11. Anzitutto, quindi, occorre partire dal dato normativo interno.</w:t>
      </w:r>
    </w:p>
    <w:p w14:paraId="3F4F26C1" w14:textId="77777777" w:rsidR="00123A8C" w:rsidRDefault="00123A8C" w:rsidP="00123A8C"/>
    <w:p w14:paraId="5A8E9201" w14:textId="77777777" w:rsidR="00123A8C" w:rsidRDefault="00123A8C" w:rsidP="00123A8C">
      <w:r>
        <w:t xml:space="preserve">Come si è poc’anzi detto, la controversia che oppone le società ricorrenti all’Amministrazione finanziaria dello Stato riguarda il calcolo dell’imposta introdotta dall’art. 217, del decreto-legge 19 maggio 2020, n. 34 (in </w:t>
      </w:r>
      <w:proofErr w:type="spellStart"/>
      <w:r>
        <w:t>Suppl</w:t>
      </w:r>
      <w:proofErr w:type="spellEnd"/>
      <w:r>
        <w:t xml:space="preserve">. </w:t>
      </w:r>
      <w:proofErr w:type="spellStart"/>
      <w:r>
        <w:t>Ord</w:t>
      </w:r>
      <w:proofErr w:type="spellEnd"/>
      <w:r>
        <w:t xml:space="preserve">. n. 21 alla </w:t>
      </w:r>
      <w:proofErr w:type="spellStart"/>
      <w:r>
        <w:t>Gazz</w:t>
      </w:r>
      <w:proofErr w:type="spellEnd"/>
      <w:r>
        <w:t xml:space="preserve">. Uff., 19 maggio 2020, n. 128) convertito, con modificazioni, dalla legge 17 luglio 2020, n. 77, recante le Misure urgenti in materia di salute, sostegno al lavoro e all'economia, nonché di </w:t>
      </w:r>
      <w:r>
        <w:lastRenderedPageBreak/>
        <w:t>politiche sociali connesse all'emergenza epidemiologica da COVID-19 (cd. DECRETO RILANCIO).</w:t>
      </w:r>
    </w:p>
    <w:p w14:paraId="2A840CAD" w14:textId="77777777" w:rsidR="00123A8C" w:rsidRDefault="00123A8C" w:rsidP="00123A8C"/>
    <w:p w14:paraId="26E71A4C" w14:textId="77777777" w:rsidR="00123A8C" w:rsidRDefault="00123A8C" w:rsidP="00123A8C">
      <w:r>
        <w:t>In particolare, detto articolo ha previsto che:</w:t>
      </w:r>
    </w:p>
    <w:p w14:paraId="0AE89A19" w14:textId="77777777" w:rsidR="00123A8C" w:rsidRDefault="00123A8C" w:rsidP="00123A8C"/>
    <w:p w14:paraId="186C654F" w14:textId="77777777" w:rsidR="00123A8C" w:rsidRDefault="00123A8C" w:rsidP="00123A8C">
      <w:r>
        <w:t>“1. Al fine di far fronte alla crisi economica dei soggetti operanti nel settore sportivo determinatasi in ragione delle misure in materia di contenimento e gestione dell'emergenza epidemiologica da COVID-19, è istituito nello stato di previsione del Ministero dell'economia e delle finanze il "Fondo per il rilancio del sistema sportivo nazionale" le cui risorse, come definite dal comma 2, sono trasferite al bilancio autonomo della Presidenza del Consiglio dei ministri, per essere assegnate all'Ufficio per lo sport per l'adozione di misure di sostegno e di ripresa del movimento sportivo.</w:t>
      </w:r>
    </w:p>
    <w:p w14:paraId="11775255" w14:textId="77777777" w:rsidR="00123A8C" w:rsidRDefault="00123A8C" w:rsidP="00123A8C"/>
    <w:p w14:paraId="299E370F" w14:textId="77777777" w:rsidR="00123A8C" w:rsidRDefault="00123A8C" w:rsidP="00123A8C">
      <w:r>
        <w:t xml:space="preserve">2. Dalla data di entrata in vigore del presente decreto e sino al 31 dicembre 2021, una quota pari allo 0,5 per cento del totale della raccolta da scommesse relative a eventi sportivi di ogni genere, anche in formato virtuale, effettuate in qualsiasi modo e su qualsiasi mezzo, sia on-line, sia tramite canali tradizionali, come determinata con cadenza quadrimestrale dall'ente incaricato dallo Stato, al netto della quota riferita all'imposta unica di cui al decreto legislativo 23 dicembre 1998, n. 504, viene versata all'entrata del bilancio dello Stato e resta acquisita all'erario. Il finanziamento del Fondo di cui al comma 1 è determinato nel limite massimo di 40 milioni di euro per l'anno 2020 e 50 milioni di euro per l'anno 2021. Qualora, negli anni 2020 e 2021, l'ammontare delle entrate corrispondenti alla percentuale di cui al presente comma sia inferiore alle somme iscritte nel Fondo ai sensi del precedente periodo, è corrispondentemente ridotta la quota di cui all'articolo 1, comma 630 della legge 30 dicembre 2018, n.145. </w:t>
      </w:r>
    </w:p>
    <w:p w14:paraId="35B30C6C" w14:textId="77777777" w:rsidR="00123A8C" w:rsidRDefault="00123A8C" w:rsidP="00123A8C"/>
    <w:p w14:paraId="30F05A23" w14:textId="77777777" w:rsidR="00123A8C" w:rsidRDefault="00123A8C" w:rsidP="00123A8C">
      <w:r>
        <w:t>3. Con decreto dell'Autorità delegata in materia di sport, di concerto con il Ministro dell'Economia e delle Finanze, da adottare entro 10 giorni dalla data di entrata in vigore del presente decreto, sono individuati i criteri di gestione del Fondo di cui ai commi precedenti.</w:t>
      </w:r>
    </w:p>
    <w:p w14:paraId="0FBEAE76" w14:textId="77777777" w:rsidR="00123A8C" w:rsidRDefault="00123A8C" w:rsidP="00123A8C"/>
    <w:p w14:paraId="21378BC2" w14:textId="77777777" w:rsidR="00123A8C" w:rsidRDefault="00123A8C" w:rsidP="00123A8C">
      <w:r>
        <w:t>La norma è entrata in vigore lo stesso giorno della sua pubblicazione in Gazzetta Ufficiale, ossia in data 19 maggio 2020.</w:t>
      </w:r>
    </w:p>
    <w:p w14:paraId="6AF94F5D" w14:textId="77777777" w:rsidR="00123A8C" w:rsidRDefault="00123A8C" w:rsidP="00123A8C"/>
    <w:p w14:paraId="7966A455" w14:textId="77777777" w:rsidR="00123A8C" w:rsidRDefault="00123A8C" w:rsidP="00123A8C">
      <w:r>
        <w:t>12. Occorre poi prestare attenzione alle vicende amministrative che si sono susseguite in fase di prima applicazione.</w:t>
      </w:r>
    </w:p>
    <w:p w14:paraId="71BB5354" w14:textId="77777777" w:rsidR="00123A8C" w:rsidRDefault="00123A8C" w:rsidP="00123A8C"/>
    <w:p w14:paraId="3A78A07F" w14:textId="77777777" w:rsidR="00123A8C" w:rsidRDefault="00123A8C" w:rsidP="00123A8C">
      <w:r>
        <w:t>Con la determinazione n. 307276/RU dell’8 settembre 2020, l’Agenzia delle Dogane e dei Monopoli aveva definito le modalità di calcolo e di applicazione dell’importo dello 0,5 per cento per le singole tipologie di scommessa, nonché i termini di versamento delle somme da corrispondere a cura dei concessionari, con cadenza quadrimestrale e pari alla somma degli importi calcolati mensilmente per ciascuna tipologia di gioco.</w:t>
      </w:r>
    </w:p>
    <w:p w14:paraId="40B20007" w14:textId="77777777" w:rsidR="00123A8C" w:rsidRDefault="00123A8C" w:rsidP="00123A8C"/>
    <w:p w14:paraId="07B7E8DC" w14:textId="77777777" w:rsidR="00123A8C" w:rsidRDefault="00123A8C" w:rsidP="00123A8C">
      <w:r>
        <w:t xml:space="preserve">In particolare, all’art. 6, aveva previsto che “Qualora prima del 31 dicembre di ciascun anno sia raggiunto il limite massimo, rispettivamente, di 40 milioni di euro per l’anno 2020 e 50 milioni di euro per l’anno 2021, il calcolo dell’importo è limitato al mese in cui detto limite è raggiunto </w:t>
      </w:r>
      <w:proofErr w:type="gramStart"/>
      <w:r>
        <w:t>e</w:t>
      </w:r>
      <w:proofErr w:type="gramEnd"/>
      <w:r>
        <w:t xml:space="preserve"> l’importo mensile è ricalcolato in misura proporzionale rispetto alla somma registrata in eccesso”.</w:t>
      </w:r>
    </w:p>
    <w:p w14:paraId="356CEB02" w14:textId="77777777" w:rsidR="00123A8C" w:rsidRDefault="00123A8C" w:rsidP="00123A8C"/>
    <w:p w14:paraId="2E807036" w14:textId="77777777" w:rsidR="00123A8C" w:rsidRDefault="00123A8C" w:rsidP="00123A8C">
      <w:r>
        <w:t xml:space="preserve">Successivamente, con la circolare n. 12 del 12 marzo 2021, l’Agenzia, sulla base del limite di cui al citato articolo 6, aveva esplicitato le modalità di calcolo degli importi mensili dovuti </w:t>
      </w:r>
      <w:r>
        <w:lastRenderedPageBreak/>
        <w:t>per scommessa, disciplinando gli arrotondamenti, definendo il criterio per la “Determinazione dell’importo riferito al mese in cui è raggiunto il limite annuo”, nonché la procedura da seguire nel caso di “Raggiungimento del limite annuo di cui all’articolo 6, qualora sia necessario integrare o ridurre l’importo calcolato”, e fornendo gli “importi totali calcolati da ADM per il secondo e terzo quadrimestre 2020” per raggiungere il citato tetto massimo (relativo al 2020) di 40 mln di euro.</w:t>
      </w:r>
    </w:p>
    <w:p w14:paraId="105DA235" w14:textId="77777777" w:rsidR="00123A8C" w:rsidRDefault="00123A8C" w:rsidP="00123A8C"/>
    <w:p w14:paraId="732495E1" w14:textId="77777777" w:rsidR="00123A8C" w:rsidRDefault="00123A8C" w:rsidP="00123A8C">
      <w:r>
        <w:t>L’elemento che caratterizzava e accomunava tutti i detti provvedimenti era l’affermazione implicita del principio del parallelismo tra l’entità del prelievo fiscale e il limite allo stanziamento del Fondo salva sport, nel senso cioè che il tetto massimo previsto per dotare il Fondo delle risorse necessarie per operare, fissato in 40 milioni di euro per l’anno 2020 e in 50 milioni di euro per l’anno 2021, fungeva, altresì, da limite implicito al prelievo di imposta, attraverso il precipuo meccanismo della riparametrazione proporzionale dell’importo mensile dovuto.</w:t>
      </w:r>
    </w:p>
    <w:p w14:paraId="5D96D5A4" w14:textId="77777777" w:rsidR="00123A8C" w:rsidRDefault="00123A8C" w:rsidP="00123A8C"/>
    <w:p w14:paraId="7E8EECFC" w14:textId="77777777" w:rsidR="00123A8C" w:rsidRDefault="00123A8C" w:rsidP="00123A8C">
      <w:r>
        <w:t>In tal modo, la pretesa fiscale non aveva ad oggetto il pagamento dell’intera quota pari allo 0,5 per cento del totale della raccolta da scommesse, bensì, nell’ambito di detta quota, attraverso il ricalcolo mensile in misura proporzionale, il pagamento necessario per dotare il Fondo dello stanziamento previsto, con conseguente possibilità di registrare anche somme in eccesso.</w:t>
      </w:r>
    </w:p>
    <w:p w14:paraId="4C267BC7" w14:textId="77777777" w:rsidR="00123A8C" w:rsidRDefault="00123A8C" w:rsidP="00123A8C"/>
    <w:p w14:paraId="7B67616C" w14:textId="77777777" w:rsidR="00123A8C" w:rsidRDefault="00123A8C" w:rsidP="00123A8C">
      <w:r>
        <w:t xml:space="preserve">13. Occorre considerare, infine, ciò che è accaduto immediatamente prima l’emanazione della impugnata determinazione n. 10337/RU del 5 gennaio 2023, recante “l’annullamento, in autotutela, ai sensi della Legge 7 agosto 1990, n. 241, articolo 21 </w:t>
      </w:r>
      <w:proofErr w:type="spellStart"/>
      <w:r>
        <w:t>nonies</w:t>
      </w:r>
      <w:proofErr w:type="spellEnd"/>
      <w:r>
        <w:t xml:space="preserve">, della Determinazione Direttoriale </w:t>
      </w:r>
      <w:proofErr w:type="spellStart"/>
      <w:r>
        <w:t>prot</w:t>
      </w:r>
      <w:proofErr w:type="spellEnd"/>
      <w:r>
        <w:t>. n. 5721/RU dell’8 gennaio 2022 e delle note, trasmesse ai concessionari, di invito a effettuare i versamenti delle somme destinate ad alimentare il Fondo per il rilancio del sistema sportivo nazionale, calcolate in applicazione dei criteri esposti in detta Determinazione Direttoriale”.</w:t>
      </w:r>
    </w:p>
    <w:p w14:paraId="48116E29" w14:textId="77777777" w:rsidR="00123A8C" w:rsidRDefault="00123A8C" w:rsidP="00123A8C"/>
    <w:p w14:paraId="5FBBF388" w14:textId="77777777" w:rsidR="00123A8C" w:rsidRDefault="00123A8C" w:rsidP="00123A8C">
      <w:r>
        <w:t xml:space="preserve">A questo proposito, è importante precisare che la determinazione direttoriale alla quale si fa riferimento, da annullare in via di autotutela, riguardava, in realtà, una diversa vicenda svoltasi in relazione ad un altro contenzioso, insorto sempre tra taluni operatori del settore e l’Agenzia, e sempre collegato alle modalità di calcolo del prelievo di cui trattasi, ma questa volta nel settore specifico del cd. </w:t>
      </w:r>
      <w:proofErr w:type="spellStart"/>
      <w:r>
        <w:t>Betting</w:t>
      </w:r>
      <w:proofErr w:type="spellEnd"/>
      <w:r>
        <w:t xml:space="preserve"> Exchange, che poi è stato regolato proprio con la succitata determina n. 5721/RU dell’8 gennaio 2022.</w:t>
      </w:r>
    </w:p>
    <w:p w14:paraId="487AA40A" w14:textId="77777777" w:rsidR="00123A8C" w:rsidRDefault="00123A8C" w:rsidP="00123A8C"/>
    <w:p w14:paraId="23F3E23C" w14:textId="77777777" w:rsidR="00123A8C" w:rsidRDefault="00123A8C" w:rsidP="00123A8C">
      <w:r>
        <w:t xml:space="preserve">Ebbene, è stato proprio da tale antefatto che ha preso le mosse il </w:t>
      </w:r>
      <w:proofErr w:type="spellStart"/>
      <w:r>
        <w:t>revirement</w:t>
      </w:r>
      <w:proofErr w:type="spellEnd"/>
      <w:r>
        <w:t xml:space="preserve"> interpretativo dell’Agenzia, la quale, trovatasi nella situazione di dovere ridefinire la nuova disciplina di calcolo per il </w:t>
      </w:r>
      <w:proofErr w:type="spellStart"/>
      <w:r>
        <w:t>Betting</w:t>
      </w:r>
      <w:proofErr w:type="spellEnd"/>
      <w:r>
        <w:t xml:space="preserve"> Exchange a seguito del giudicato amministrativo nel frattempo formatosi in senso ad essa sfavorevole, ha poi in effetti deciso di riverificare in senso complessivo la conformità a legge del proprio operato concernente le modalità di calcolo del prelievo ai sensi dell’art. 217, decreto-legge n. 34/2020.</w:t>
      </w:r>
    </w:p>
    <w:p w14:paraId="5E3AE007" w14:textId="77777777" w:rsidR="00123A8C" w:rsidRDefault="00123A8C" w:rsidP="00123A8C"/>
    <w:p w14:paraId="13B14A48" w14:textId="77777777" w:rsidR="00123A8C" w:rsidRDefault="00123A8C" w:rsidP="00123A8C">
      <w:r>
        <w:t xml:space="preserve">È così accaduto che, a seguito di interlocuzioni con la Ragioneria Generale dello Stato e la Corte dei conti - Sezione centrale di controllo sulla gestione delle amministrazioni dello Stato, l’Agenzia abbia reinterpretato la summenzionata normativa fiscale e l’abbia applicata, da allora in avanti, in senso diametralmente opposto rispetto al passato, ossia nel senso che il limite massimo di 40 milioni di euro per l’anno 2020 e di 50 milioni di euro per l’anno 2021 non debba intendersi riferito “alla misura massima delle somme dovute dai soggetti passivi del prelievo bensì alla parte di prelievo destinata ad alimentare il “Fondo per il rilancio del sistema sportivo nazionale”, con la conseguenza che i concessionari </w:t>
      </w:r>
      <w:r>
        <w:lastRenderedPageBreak/>
        <w:t>sono tenuti a versare per intero l’aliquota dello 0,5 per cento della raccolta, calcolata secondo le modalità espresse all’articolo 3 della nuova determina, senza più quindi la possibilità che l’importo mensile dovuto sia ricalcolato proporzionalmente al raggiungimento dei previsti limiti di stanziamento, come era invece stabilito dall’art. 6 della originaria determina n. 307276/RU dell’8 settembre 2020, disposizione, questa, difatti, non più riprodotta con l’impugnata determinazione del 5 gennaio 2023.</w:t>
      </w:r>
    </w:p>
    <w:p w14:paraId="137B688D" w14:textId="77777777" w:rsidR="00123A8C" w:rsidRDefault="00123A8C" w:rsidP="00123A8C"/>
    <w:p w14:paraId="0066AC23" w14:textId="77777777" w:rsidR="00123A8C" w:rsidRDefault="00123A8C" w:rsidP="00123A8C">
      <w:r>
        <w:t>14. Sulla base di ciò, sussistono ad avviso del Collegio plurimi elementi, sia testuali, sia sistematici, tali per cui non devono nutrirsi dubbi circa il fatto che l’unica interpretazione corretta della disposizione recata dall’art. 217, decreto-legge n. 34/2020 sia quella che l’Amministrazione finanziaria ha seguito in fase di prima applicazione della norma, poi tuttavia dalla stessa abbandonata e sostituita da quella, opposta e qui impugnata, da ritenersi non conforme a legge, in quanto non rinveniente nel dato normativo la necessaria ‘base legale’ della pretesa impositiva.</w:t>
      </w:r>
    </w:p>
    <w:p w14:paraId="7DE6760E" w14:textId="77777777" w:rsidR="00123A8C" w:rsidRDefault="00123A8C" w:rsidP="00123A8C"/>
    <w:p w14:paraId="0D4BF1E6" w14:textId="77777777" w:rsidR="00123A8C" w:rsidRDefault="00123A8C" w:rsidP="00123A8C">
      <w:r>
        <w:t>15. L’art. 12 delle Disposizioni sulla legge in generale (cd. Preleggi), rubricato “Interpretazione della legge”, prevede che “Nell’applicare la legge non si può ad essa attribuire altro senso che quello fatto palese dal significato proprio delle parole secondo la connessione di esse, e dalla intenzione del legislatore.</w:t>
      </w:r>
    </w:p>
    <w:p w14:paraId="358BBB54" w14:textId="77777777" w:rsidR="00123A8C" w:rsidRDefault="00123A8C" w:rsidP="00123A8C"/>
    <w:p w14:paraId="4C9E56E3" w14:textId="77777777" w:rsidR="00123A8C" w:rsidRDefault="00123A8C" w:rsidP="00123A8C">
      <w:r>
        <w:t>Se una controversia non può essere decisa con una precisa disposizione, si ha riguardo alle disposizioni che regolano casi simili o materie analoghe; se il caso rimane ancora dubbio, si decide secondo i principi generali dell’ordinamento giuridico dello Stato”.</w:t>
      </w:r>
    </w:p>
    <w:p w14:paraId="71782657" w14:textId="77777777" w:rsidR="00123A8C" w:rsidRDefault="00123A8C" w:rsidP="00123A8C"/>
    <w:p w14:paraId="2963DCAE" w14:textId="77777777" w:rsidR="00123A8C" w:rsidRDefault="00123A8C" w:rsidP="00123A8C">
      <w:r>
        <w:t>Nell’ordine, quindi, i canoni ermeneutici di cui l’interprete deve fare applicazione sono:</w:t>
      </w:r>
    </w:p>
    <w:p w14:paraId="7715C976" w14:textId="77777777" w:rsidR="00123A8C" w:rsidRDefault="00123A8C" w:rsidP="00123A8C"/>
    <w:p w14:paraId="19DEB44C" w14:textId="77777777" w:rsidR="00123A8C" w:rsidRDefault="00123A8C" w:rsidP="00123A8C">
      <w:r>
        <w:t>a) l’interpretazione letterale palesata dal significato proprio delle parole;</w:t>
      </w:r>
    </w:p>
    <w:p w14:paraId="0FB787FA" w14:textId="77777777" w:rsidR="00123A8C" w:rsidRDefault="00123A8C" w:rsidP="00123A8C"/>
    <w:p w14:paraId="0EE8366C" w14:textId="77777777" w:rsidR="00123A8C" w:rsidRDefault="00123A8C" w:rsidP="00123A8C">
      <w:r>
        <w:t>b) l’interpretazione sistematica delle parole secondo la connessione di esse;</w:t>
      </w:r>
    </w:p>
    <w:p w14:paraId="7D7C9457" w14:textId="77777777" w:rsidR="00123A8C" w:rsidRDefault="00123A8C" w:rsidP="00123A8C"/>
    <w:p w14:paraId="2F53B5E8" w14:textId="77777777" w:rsidR="00123A8C" w:rsidRDefault="00123A8C" w:rsidP="00123A8C">
      <w:r>
        <w:t xml:space="preserve">c) l’analogia </w:t>
      </w:r>
      <w:proofErr w:type="spellStart"/>
      <w:r>
        <w:t>iuris</w:t>
      </w:r>
      <w:proofErr w:type="spellEnd"/>
      <w:r>
        <w:t xml:space="preserve"> e l’analogia </w:t>
      </w:r>
      <w:proofErr w:type="spellStart"/>
      <w:r>
        <w:t>legis</w:t>
      </w:r>
      <w:proofErr w:type="spellEnd"/>
      <w:r>
        <w:t>, per i casi simili o le materie analoghe;</w:t>
      </w:r>
    </w:p>
    <w:p w14:paraId="39765920" w14:textId="77777777" w:rsidR="00123A8C" w:rsidRDefault="00123A8C" w:rsidP="00123A8C"/>
    <w:p w14:paraId="0C460448" w14:textId="77777777" w:rsidR="00123A8C" w:rsidRDefault="00123A8C" w:rsidP="00123A8C">
      <w:r>
        <w:t>d) se il caso rimane ancora dubbio, i principi generali dell’ordinamento giuridico dello Stato.</w:t>
      </w:r>
    </w:p>
    <w:p w14:paraId="751F07F5" w14:textId="77777777" w:rsidR="00123A8C" w:rsidRDefault="00123A8C" w:rsidP="00123A8C"/>
    <w:p w14:paraId="42813EFC" w14:textId="77777777" w:rsidR="00123A8C" w:rsidRDefault="00123A8C" w:rsidP="00123A8C">
      <w:r>
        <w:t>16. Sul piano testuale, il legislatore ha chiaramente enunciato la propria intenzione di introdurre misure urgenti in materia di salute, sostegno al lavoro e all'economia, nonché di politiche sociali connesse all'emergenza epidemiologica da COVID-19, con lo scopo cioè di bilanciare il sacrificio economico imposto a taluni operatori economici assoggettati ad una nuova forma di imposizione indiretta (nella specie, i concessionari della raccolta delle scommesse), con le superiori, generali e imperative esigenze di solidarietà economica e sociale, indispensabili non tanto per sostenere in generale l’economia, ma proprio per rilanciare specifici settori dell’economia gravemente pregiudicati a seguito delle misure restrittive e delle chiusure alle attività imposte dalla normativa di contrasto al COVID-19, tra cui quelle facenti capo ad associazioni sportive e dilettantistiche.</w:t>
      </w:r>
    </w:p>
    <w:p w14:paraId="735A227C" w14:textId="77777777" w:rsidR="00123A8C" w:rsidRDefault="00123A8C" w:rsidP="00123A8C"/>
    <w:p w14:paraId="63E9E030" w14:textId="77777777" w:rsidR="00123A8C" w:rsidRDefault="00123A8C" w:rsidP="00123A8C">
      <w:r>
        <w:t>Letteralmente, difatti, il primo comma del cit. art. 217 prevede che le cui risorse, come definite dal comma 2, sono trasferite al bilancio autonomo della Presidenza del Consiglio dei ministri, per essere assegnate all'Ufficio per lo sport per l'adozione di misure di sostegno e di ripresa del movimento sportivo.</w:t>
      </w:r>
    </w:p>
    <w:p w14:paraId="1E4A7612" w14:textId="77777777" w:rsidR="00123A8C" w:rsidRDefault="00123A8C" w:rsidP="00123A8C"/>
    <w:p w14:paraId="29A041D8" w14:textId="77777777" w:rsidR="00123A8C" w:rsidRDefault="00123A8C" w:rsidP="00123A8C">
      <w:r>
        <w:lastRenderedPageBreak/>
        <w:t>Ancora sul piano testuale, va poi considerata la rubrica dell’articolo in commento, intitolata “Costituzione del "Fondo per il rilancio del sistema sportivo nazionale"”, anche in questo caso stabilendo un sicuro vincolo funzionale tra la ragione del prelievo e la finalità perseguita, ossia non il perseguimento di generali e non meglio precisate ragioni di interesse pubblico, ma proprio la finalità specifica di mostrarsi solidali con il sistema sportivo nazionale, al cui rilancio è deputata la costituzione del Fondo.</w:t>
      </w:r>
    </w:p>
    <w:p w14:paraId="040AC2E1" w14:textId="77777777" w:rsidR="00123A8C" w:rsidRDefault="00123A8C" w:rsidP="00123A8C"/>
    <w:p w14:paraId="2BE2E930" w14:textId="77777777" w:rsidR="00123A8C" w:rsidRDefault="00123A8C" w:rsidP="00123A8C">
      <w:r>
        <w:t>Sempre sul piano testuale, è pur vero che il secondo comma del medesimo art. 217 prevede che “(d)alla data di entrata in vigore del presente decreto e sino al 31 dicembre 2021, una quota pari allo 0,5 per cento del totale della raccolta da scommesse relative a eventi sportivi di ogni genere … al netto della quota riferita all'imposta unica di cui al decreto legislativo 23 dicembre 1998, n. 504, viene versata all'entrata del bilancio dello Stato e resta acquisita all'erario”, ma il Collegio ritiene che tale espressione debba necessariamente essere posta in correlazione e letta in connessione con le previsioni recate dal primo comma e con il senso complessivo delle misure emergenziali introdotte dalla decretazione in via d’urgenza, così come poc’anzi illustrate, con la conseguenza che non è sostenibile, né condivisibile, l’esegesi secondo cui il limite massimo allo stanziamento riguarda la sola parte di prelievo destinata ad alimentare il fondo, ma non anche la misura massima del prelievo al quale sono assoggettati gli operatori economici del settore, dal momento che le risorse alle quali si fa riferimento nel primo comma per dotare il Fondo dei mezzi necessari per potere operare sono proprie quelle e solo quelle reperite secondo le modalità descritte dal comma 2 del medesimo art. 217, e che le finalità solidaristiche espressamente previste dalla norma sono solo quelle che riguardano l’adozione delle misure di sostegno e di ripresa del movimento sportivo, e non altre esigenze che pure la Difesa erariale ha prospettato come “finalità omologhe”, con formula tuttavia non meglio precisata.</w:t>
      </w:r>
    </w:p>
    <w:p w14:paraId="3B1899CC" w14:textId="77777777" w:rsidR="00123A8C" w:rsidRDefault="00123A8C" w:rsidP="00123A8C"/>
    <w:p w14:paraId="39D10C43" w14:textId="77777777" w:rsidR="00123A8C" w:rsidRDefault="00123A8C" w:rsidP="00123A8C">
      <w:r>
        <w:t xml:space="preserve">17. Sul piano sistematico e complessivo, quindi, deve affermarsi il principio di diritto secondo cui, seppure il legislatore non abbia fatto uso di espressioni letterali tali da esplicitare verbalmente il concetto che il limite di stanziamento del Fondo funziona anche quale limite al prelievo, è tuttavia evidente e incontrovertibile che il suddetto principio sia ricavabile sulla base della </w:t>
      </w:r>
      <w:proofErr w:type="spellStart"/>
      <w:r>
        <w:t>intentio</w:t>
      </w:r>
      <w:proofErr w:type="spellEnd"/>
      <w:r>
        <w:t xml:space="preserve"> </w:t>
      </w:r>
      <w:proofErr w:type="spellStart"/>
      <w:r>
        <w:t>legis</w:t>
      </w:r>
      <w:proofErr w:type="spellEnd"/>
      <w:r>
        <w:t xml:space="preserve">, per come palesata nell’epigrafe che dà il titolo al decreto-legge; della ratio </w:t>
      </w:r>
      <w:proofErr w:type="spellStart"/>
      <w:r>
        <w:t>iuris</w:t>
      </w:r>
      <w:proofErr w:type="spellEnd"/>
      <w:r>
        <w:t xml:space="preserve"> perseguita, per come anch’essa resa chiara dalla rubrica dell’articolato normativo; e del necessario raccordo tra le previsioni recate dal primo e dal secondo comma, che non possono essere lette e interpretate in modo isolato e atomistico l’una dall’altra, ma che anzi impongono una lettura coordinata secondo i principi della logica giuridica.</w:t>
      </w:r>
    </w:p>
    <w:p w14:paraId="23D0486C" w14:textId="77777777" w:rsidR="00123A8C" w:rsidRDefault="00123A8C" w:rsidP="00123A8C"/>
    <w:p w14:paraId="08772829" w14:textId="77777777" w:rsidR="00123A8C" w:rsidRDefault="00123A8C" w:rsidP="00123A8C">
      <w:r>
        <w:t>18. Vi è poi una ulteriore considerazione da svolgere.</w:t>
      </w:r>
    </w:p>
    <w:p w14:paraId="5E4C66F6" w14:textId="77777777" w:rsidR="00123A8C" w:rsidRDefault="00123A8C" w:rsidP="00123A8C"/>
    <w:p w14:paraId="3416E2CE" w14:textId="77777777" w:rsidR="00123A8C" w:rsidRDefault="00123A8C" w:rsidP="00123A8C">
      <w:r>
        <w:t>La necessità di rilanciare il settore dello sport, e in particolare il mondo delle piccole associazioni sportive e dilettantistiche che vi operano, è stata una esigenza così sentita dallo Stato da indurlo a introdurre, nell’ultima parte del secondo comma del cit. 217, la previsione che “Qualora, negli anni 2020 e 2021, l'ammontare delle entrate corrispondenti alla percentuale di cui al presente comma sia inferiore alle somme iscritte nel Fondo ai sensi del precedente periodo, è corrispondentemente ridotta la quota di cui all'articolo 1, comma 630 della legge 30 dicembre 2018, n. 145”.</w:t>
      </w:r>
    </w:p>
    <w:p w14:paraId="6D07C0D7" w14:textId="77777777" w:rsidR="00123A8C" w:rsidRDefault="00123A8C" w:rsidP="00123A8C"/>
    <w:p w14:paraId="5D7DE74C" w14:textId="77777777" w:rsidR="00123A8C" w:rsidRDefault="00123A8C" w:rsidP="00123A8C">
      <w:r>
        <w:t>Questo evento, come si è già ampiamente chiarito, non si è verificato nel caso all’esame, originando difatti l’odierna controversia proprio dal fatto che le soglie di stanziamento del Fondo sono state ampiamente raggiunte.</w:t>
      </w:r>
    </w:p>
    <w:p w14:paraId="421F3DBA" w14:textId="77777777" w:rsidR="00123A8C" w:rsidRDefault="00123A8C" w:rsidP="00123A8C"/>
    <w:p w14:paraId="438FF0B9" w14:textId="77777777" w:rsidR="00123A8C" w:rsidRDefault="00123A8C" w:rsidP="00123A8C">
      <w:r>
        <w:t>La considerazione della suddetta eventualità, tuttavia, è utile per comprendere sul piano esegetico, sulla base di un ragionamento logico controfattuale, cosa per l’appunto sarebbe accaduto se ciò si fosse verificato.</w:t>
      </w:r>
    </w:p>
    <w:p w14:paraId="0412AF1E" w14:textId="77777777" w:rsidR="00123A8C" w:rsidRDefault="00123A8C" w:rsidP="00123A8C"/>
    <w:p w14:paraId="5BD4D76E" w14:textId="77777777" w:rsidR="00123A8C" w:rsidRDefault="00123A8C" w:rsidP="00123A8C">
      <w:r>
        <w:t>Ebbene, sulla base della succitata espressa previsione di legge, sarebbe accaduto che lo Stato avrebbe integrato i limiti di stanziamento previsti, operando la corrispondente riduzione della quota di cui all'articolo 1, comma 630 della legge 30 dicembre 2018, n. 145.</w:t>
      </w:r>
    </w:p>
    <w:p w14:paraId="0F598662" w14:textId="77777777" w:rsidR="00123A8C" w:rsidRDefault="00123A8C" w:rsidP="00123A8C"/>
    <w:p w14:paraId="788514E5" w14:textId="77777777" w:rsidR="00123A8C" w:rsidRDefault="00123A8C" w:rsidP="00123A8C">
      <w:r>
        <w:t>Anche alla luce di ciò, non si ravvede dunque la ragione di assoggettare i concessionari dello Stato ad uno sforzo di contribuzione per esigenze solidaristiche (va ribadito, dagli stessi non contestato nei limiti necessari al raggiungimento delle soglie di stanziamento del Fondo) maggiore di quello al quale si sottoporrebbe lo Stato stesso nel caso in cui le suddette soglie non venissero raggiunte, dal momento che in questo caso è certo, per espressa previsione di legge, che la riduzione corrispondente della quota di cui all'articolo 1, comma 630 della legge 30 dicembre 2018, n. 145 opererebbe solo fino al raggiungimento delle soglie, e non oltre.</w:t>
      </w:r>
    </w:p>
    <w:p w14:paraId="247F9758" w14:textId="77777777" w:rsidR="00123A8C" w:rsidRDefault="00123A8C" w:rsidP="00123A8C"/>
    <w:p w14:paraId="4DDDD213" w14:textId="77777777" w:rsidR="00123A8C" w:rsidRDefault="00123A8C" w:rsidP="00123A8C">
      <w:r>
        <w:t>Il che riconferma ulteriormente che l’unica lettura possibile della disposizione normativa contenuta all’art. 217, decreto-legge n. 34/2020, nel raccordo fra il primo e il secondo comma, è esclusivamente quella che riposa sul principio del parallelismo tra il prelievo e la dotazione del fondo, con la conseguenza, a definitivo corollario, che il limite allo stanziamento del Fondo rappresenta anche il necessario limite implicito al prelievo, sulla scorta del legame teleologico perseguito dal legislatore.</w:t>
      </w:r>
    </w:p>
    <w:p w14:paraId="51D10B34" w14:textId="77777777" w:rsidR="00123A8C" w:rsidRDefault="00123A8C" w:rsidP="00123A8C"/>
    <w:p w14:paraId="5BA79DBC" w14:textId="77777777" w:rsidR="00123A8C" w:rsidRDefault="00123A8C" w:rsidP="00123A8C">
      <w:r>
        <w:t>19. Discendendo dalle considerazioni appena illustrate l’integrale e satisfattivo accoglimento delle ragioni giuridiche prospettate con gli odierni appelli, non sarebbe di per sé necessario, anzi per vero diventerebbe recessivo per mancanza del presupposto della rilevanza, l’esame delle questioni pregiudiziali interpretative (costituzionale ed europea) correttamente prospettate dalle società appellanti in via solo subordinata, per il caso cioè in cui il Collegio fosse pervenuto alla decisione opposta.</w:t>
      </w:r>
    </w:p>
    <w:p w14:paraId="485B18F4" w14:textId="77777777" w:rsidR="00123A8C" w:rsidRDefault="00123A8C" w:rsidP="00123A8C"/>
    <w:p w14:paraId="69D91271" w14:textId="77777777" w:rsidR="00123A8C" w:rsidRDefault="00123A8C" w:rsidP="00123A8C">
      <w:r>
        <w:t>Peraltro, sullo sfondo di tali questioni prospettate, si staglia con chiarezza il corollario del c.d. generale “principio di conservazione” che permea di sé l’ordinamento giuridico, secondo cui tra due eventuali interpretazioni plausibili, il Giudice è tenuto a privilegiare quella che conduca all’affermazione che la norma applicata è immune da mende rispetto a quella che possa presentare profili di incompatibilità con altri valori dell’ordinamento.</w:t>
      </w:r>
    </w:p>
    <w:p w14:paraId="47A57608" w14:textId="77777777" w:rsidR="00123A8C" w:rsidRDefault="00123A8C" w:rsidP="00123A8C"/>
    <w:p w14:paraId="31ADE9D9" w14:textId="77777777" w:rsidR="00123A8C" w:rsidRDefault="00123A8C" w:rsidP="00123A8C">
      <w:r>
        <w:t>È noto che il detto principio è stato, negli anni, evocato a più riprese dal Giudice delle leggi (celebre, in proposito, il canone enunciato nella sentenza n. 356 del 1996, e poi più volte ripetuto a partire dalla sentenza n. 147 del 2008 e reso con la fortunata espressione “in linea di principio, le leggi non si dichiarano costituzionalmente illegittime -o una disposizione non può essere ritenuta costituzionalmente illegittima- perché è possibile darne interpretazioni incostituzionali -e qualche giudice ritenga di darne-, ma perché è impossibile darne interpretazioni costituzionali”.</w:t>
      </w:r>
    </w:p>
    <w:p w14:paraId="77F0F49B" w14:textId="77777777" w:rsidR="00123A8C" w:rsidRDefault="00123A8C" w:rsidP="00123A8C"/>
    <w:p w14:paraId="71E4E926" w14:textId="77777777" w:rsidR="00123A8C" w:rsidRDefault="00123A8C" w:rsidP="00123A8C">
      <w:r>
        <w:t xml:space="preserve">Lo stesso principio trova pure riscontro, seppur con minore frequenza, nella giurisprudenza della CGUE (Corte giustizia UE grande sezione, 8.11.2016, n.554, </w:t>
      </w:r>
      <w:proofErr w:type="spellStart"/>
      <w:r>
        <w:t>consideranda</w:t>
      </w:r>
      <w:proofErr w:type="spellEnd"/>
      <w:r>
        <w:t xml:space="preserve"> 58 e 59 “58 In base, altresì, a una consolidata giurisprudenza, anche se le decisioni quadro, ai sensi dell'articolo 34, paragrafo 2, lettera b), UE, non possono avere </w:t>
      </w:r>
      <w:r>
        <w:lastRenderedPageBreak/>
        <w:t>efficacia diretta, il loro carattere vincolante comporta tuttavia in capo alle autorità nazionali, in particolare ai giudici nazionali, un obbligo di interpretazione conforme del diritto nazionale (v. sentenza del 5 settembre 2012, Lopes Da Silva Jorge, C-42/11, EU:C:2012:517, punto 53 e giurisprudenza ivi citata). 59 Nell'applicare il diritto interno, il giudice nazionale chiamato ad interpretare quest'ultimo è quindi tenuto a farlo, quanto più possibile, alla luce della lettera e dello scopo della decisione quadro al fine di conseguire il risultato da essa perseguito. Tale obbligo di interpretazione conforme del diritto nazionale è insito nel sistema del Trattato FUE, in quanto permette ai giudici nazionali di assicurare, nell'ambito delle rispettive competenze, la piena efficacia del diritto dell'Unione quando risolvono le controversie ad essi sottoposte (v. sentenza del 5 settembre 2012, Lopes Da Silva Jorge, C-42/11, EU:C:2012:517, punto 54 e giurisprudenza ivi citata).”.</w:t>
      </w:r>
    </w:p>
    <w:p w14:paraId="75D146F8" w14:textId="77777777" w:rsidR="00123A8C" w:rsidRDefault="00123A8C" w:rsidP="00123A8C"/>
    <w:p w14:paraId="789C9525" w14:textId="77777777" w:rsidR="00123A8C" w:rsidRDefault="00123A8C" w:rsidP="00123A8C">
      <w:r>
        <w:t>In tale ottica, se non ai fini del rinvio pregiudiziale, è quindi opportuno svolgere qualche considerazione finale sul piano della integrazione del nostro ordinamento giuridico in quello europeo, alla luce dei principi del Trattato, così come interpretati con indirizzo esegetico consolidato dalla Corte di Giustizia, a riprova dell’ormai raggiunto grado di maturità, chiarezza e adeguatezza, nel settore dei giochi e delle scommesse, dei principi interpretativi elaborati dal giudice europeo, cosicché ogni giudice nazionale può farne immediatamente applicazione, conoscendo il punto di vista della Corte in materia.</w:t>
      </w:r>
    </w:p>
    <w:p w14:paraId="2A12B2CA" w14:textId="77777777" w:rsidR="00123A8C" w:rsidRDefault="00123A8C" w:rsidP="00123A8C"/>
    <w:p w14:paraId="2A61BD16" w14:textId="77777777" w:rsidR="00123A8C" w:rsidRDefault="00123A8C" w:rsidP="00123A8C">
      <w:r>
        <w:t xml:space="preserve">Secondo la giurisprudenza consolidata della Corte, devono considerarsi quali restrizioni alla libertà di stabilimento o alla libera prestazione dei servizi tutte le misure che vietino, ostacolino o rendano meno attraente l'esercizio delle libertà garantite dagli articoli 49 e 56 TFUE (sentenza del 22 gennaio 2015, Stanley International </w:t>
      </w:r>
      <w:proofErr w:type="spellStart"/>
      <w:r>
        <w:t>Betting</w:t>
      </w:r>
      <w:proofErr w:type="spellEnd"/>
      <w:r>
        <w:t xml:space="preserve"> e </w:t>
      </w:r>
      <w:proofErr w:type="spellStart"/>
      <w:r>
        <w:t>Stanleybet</w:t>
      </w:r>
      <w:proofErr w:type="spellEnd"/>
      <w:r>
        <w:t xml:space="preserve"> Malta, C-463/13, punto 45 e la giurisprudenza ivi citata; sentenza del 20 dicembre 2017, n. 322, punto 35).</w:t>
      </w:r>
    </w:p>
    <w:p w14:paraId="029FB655" w14:textId="77777777" w:rsidR="00123A8C" w:rsidRDefault="00123A8C" w:rsidP="00123A8C"/>
    <w:p w14:paraId="44229D57" w14:textId="77777777" w:rsidR="00123A8C" w:rsidRDefault="00123A8C" w:rsidP="00123A8C">
      <w:r>
        <w:t>Diversamente dal caso esaminato dalla sentenza del 22 gennaio 2015, ma similmente a quello oggetto della sentenza del 20 dicembre 2017, anche nel caso qui trattato la normativa nazionale non ha imposto ai concessionari nuove condizioni di esercizio dell’attività (es. proroghe del contratto), bensì ha introdotto una nuova disciplina fiscale, sia pure limitata, in questo specifico caso, ad un biennio (anni 2020-2021).</w:t>
      </w:r>
    </w:p>
    <w:p w14:paraId="7EFAF0DD" w14:textId="77777777" w:rsidR="00123A8C" w:rsidRDefault="00123A8C" w:rsidP="00123A8C"/>
    <w:p w14:paraId="7BF75275" w14:textId="77777777" w:rsidR="00123A8C" w:rsidRDefault="00123A8C" w:rsidP="00123A8C">
      <w:r>
        <w:t xml:space="preserve">Sebbene la materia della imposizione fiscale rientri nella competenza degli Stati membri, una costante giurisprudenza della Corte afferma che questi ultimi devono esercitare tale competenza nel rispetto del diritto dell'Unione e, in particolare, delle libertà fondamentali garantite dal Trattato sul funzionamento dell’Unione Europea (sentenza dell'11 giugno 2015, </w:t>
      </w:r>
      <w:proofErr w:type="spellStart"/>
      <w:r>
        <w:t>Berlington</w:t>
      </w:r>
      <w:proofErr w:type="spellEnd"/>
      <w:r>
        <w:t xml:space="preserve"> </w:t>
      </w:r>
      <w:proofErr w:type="spellStart"/>
      <w:r>
        <w:t>Hungary</w:t>
      </w:r>
      <w:proofErr w:type="spellEnd"/>
      <w:r>
        <w:t xml:space="preserve"> e a., C-98/14, punto 34).</w:t>
      </w:r>
    </w:p>
    <w:p w14:paraId="5A233C3A" w14:textId="77777777" w:rsidR="00123A8C" w:rsidRDefault="00123A8C" w:rsidP="00123A8C"/>
    <w:p w14:paraId="14CA624D" w14:textId="77777777" w:rsidR="00123A8C" w:rsidRDefault="00123A8C" w:rsidP="00123A8C">
      <w:r>
        <w:t>Pur in assenza di una disciplina europea specifica di fonte derivata, si applicano, difatti, le norme del Trattato che tutelano sia la libertà di stabilimento (che importa l’accesso alle attività autonome e al loro esercizio ai sensi dell’art. 49), sia la libertà di prestazione di servizi (art. 56) che implica, tra l’altro, il libero svolgimento di attività di impresa, in quanto viene in rilievo un’attività economica di impresa.</w:t>
      </w:r>
    </w:p>
    <w:p w14:paraId="3329E6A9" w14:textId="77777777" w:rsidR="00123A8C" w:rsidRDefault="00123A8C" w:rsidP="00123A8C"/>
    <w:p w14:paraId="6982AE32" w14:textId="77777777" w:rsidR="00123A8C" w:rsidRDefault="00123A8C" w:rsidP="00123A8C">
      <w:r>
        <w:t>Al fine di stabilire quando tali libertà europee siano violate, occorre previamente accertare se la misura nazionale abbia determinato una restrizione delle suddette libertà. In secondo luogo, ove la restrizione effettivamente sussista, occorre stabilire se la stessa possa essere giustificata alla luce sia di limiti specifici espressamente consentiti dal Trattato, sia del limite generale costituito dai “motivi imperativi di interesse generale”, che sono diversamente costruiti a seconda del settore di riferimento.</w:t>
      </w:r>
    </w:p>
    <w:p w14:paraId="556194F8" w14:textId="77777777" w:rsidR="00123A8C" w:rsidRDefault="00123A8C" w:rsidP="00123A8C"/>
    <w:p w14:paraId="1B9CE203" w14:textId="77777777" w:rsidR="00123A8C" w:rsidRDefault="00123A8C" w:rsidP="00123A8C">
      <w:r>
        <w:t>Infine, se i suddetti motivi imperativi sussistono, occorre valutare se la normativa nazionale derogatoria rispetto alle libertà europee rispetti i seguenti altri principi generali europei: i) principio del pari trattamento, che vieta che la deroga nazionale crei discriminazione tra situazioni giuridiche nazionali ed europee; ii) principio di proporzionalità, che impone che la misura nazionale sia adeguata, idonea e proporzionata in senso stretto rispetto alla tutela dell’interesse pubblico nazionale, al fine di stabilire se il sacrificio dell’interesse pubblico europeo sia in concreto giustificato; iii) principio di affidamento dei privati incisi da una normativa eventualmente retroattiva ovvero che pregiudichi posizioni consolidate; iv) principio di trasparenza e principio di concorrenza per il mercato, qualora sussista l’esigenza di scelta limitata dei soggetti privati che possano svolgere quella attività (Consiglio di Stato, Sezione IV, ordinanza n. 1071 del 31 gennaio 2023).</w:t>
      </w:r>
    </w:p>
    <w:p w14:paraId="6C97407D" w14:textId="77777777" w:rsidR="00123A8C" w:rsidRDefault="00123A8C" w:rsidP="00123A8C"/>
    <w:p w14:paraId="0191EC7B" w14:textId="77777777" w:rsidR="00123A8C" w:rsidRDefault="00123A8C" w:rsidP="00123A8C">
      <w:r>
        <w:t>Nel caso all’esame, come si è poc’anzi chiarito, mentre non occorre approfondire il primo aspetto, in quanto gli appelli vanno accolti, sicché per definizione nessuna lesione alle libertà garantite dal Trattato si prospetta, è invece utile ripercorrere l’orientamento della Corte sulla nozione di motivo imperativo di interesse generale.</w:t>
      </w:r>
    </w:p>
    <w:p w14:paraId="5629E1E8" w14:textId="77777777" w:rsidR="00123A8C" w:rsidRDefault="00123A8C" w:rsidP="00123A8C"/>
    <w:p w14:paraId="1FCC561B" w14:textId="77777777" w:rsidR="00123A8C" w:rsidRDefault="00123A8C" w:rsidP="00123A8C">
      <w:r>
        <w:t>La disciplina dei giochi d'azzardo e delle scommesse rientra nei settori in cui sussistono tra gli Stati membri divergenze considerevoli di ordine morale, religioso e culturale.</w:t>
      </w:r>
    </w:p>
    <w:p w14:paraId="7D0FFA0F" w14:textId="77777777" w:rsidR="00123A8C" w:rsidRDefault="00123A8C" w:rsidP="00123A8C"/>
    <w:p w14:paraId="68F910C0" w14:textId="77777777" w:rsidR="00123A8C" w:rsidRDefault="00123A8C" w:rsidP="00123A8C">
      <w:r>
        <w:t xml:space="preserve">In assenza di un'armonizzazione in materia a livello dell'Unione, gli Stati membri godono di un ampio potere discrezionale per quanto riguarda la scelta del livello di tutela dei consumatori e dell'ordine sociale che essi considerano più appropriato (sentenza del 20 dicembre 2017, Global </w:t>
      </w:r>
      <w:proofErr w:type="spellStart"/>
      <w:r>
        <w:t>Starnet</w:t>
      </w:r>
      <w:proofErr w:type="spellEnd"/>
      <w:r>
        <w:t>, C-322/16, punto 39 e la giurisprudenza ivi citata).</w:t>
      </w:r>
    </w:p>
    <w:p w14:paraId="360486F8" w14:textId="77777777" w:rsidR="00123A8C" w:rsidRDefault="00123A8C" w:rsidP="00123A8C"/>
    <w:p w14:paraId="66BA9D2D" w14:textId="77777777" w:rsidR="00123A8C" w:rsidRDefault="00123A8C" w:rsidP="00123A8C">
      <w:r>
        <w:t>Gli Stati membri sono, di conseguenza, liberi di fissare gli obiettivi della loro politica in materia di giochi d'azzardo e, eventualmente, di definire con precisione il livello di tutela perseguito.</w:t>
      </w:r>
    </w:p>
    <w:p w14:paraId="202CB352" w14:textId="77777777" w:rsidR="00123A8C" w:rsidRDefault="00123A8C" w:rsidP="00123A8C"/>
    <w:p w14:paraId="6DE820CF" w14:textId="77777777" w:rsidR="00123A8C" w:rsidRDefault="00123A8C" w:rsidP="00123A8C">
      <w:r>
        <w:t xml:space="preserve">Tuttavia, le restrizioni che essi impongono devono soddisfare le condizioni che risultano dalla giurisprudenza della Corte per quanto riguarda, segnatamente, la loro giustificazione sulla base di motivi imperativi di interesse generale e la loro proporzionalità (sentenza del 20 dicembre 2017, Global </w:t>
      </w:r>
      <w:proofErr w:type="spellStart"/>
      <w:r>
        <w:t>Starnet</w:t>
      </w:r>
      <w:proofErr w:type="spellEnd"/>
      <w:r>
        <w:t>, C-322/16, punto 40 e la giurisprudenza ivi citata).</w:t>
      </w:r>
    </w:p>
    <w:p w14:paraId="7D3FA519" w14:textId="77777777" w:rsidR="00123A8C" w:rsidRDefault="00123A8C" w:rsidP="00123A8C"/>
    <w:p w14:paraId="0DADB2AF" w14:textId="77777777" w:rsidR="00123A8C" w:rsidRDefault="00123A8C" w:rsidP="00123A8C">
      <w:r>
        <w:t xml:space="preserve">Pertanto, purché esse soddisfino quest'ultimo requisito, eventuali restrizioni delle attività di gioco d'azzardo possono essere giustificate in virtù di motivi imperativi di interesse generale, quali la tutela dei consumatori e la prevenzione delle frodi e dell'incitamento dei cittadini a spese eccessive legate al gioco (sentenza del 22 gennaio 2015, Stanley International </w:t>
      </w:r>
      <w:proofErr w:type="spellStart"/>
      <w:r>
        <w:t>Betting</w:t>
      </w:r>
      <w:proofErr w:type="spellEnd"/>
      <w:r>
        <w:t xml:space="preserve"> e </w:t>
      </w:r>
      <w:proofErr w:type="spellStart"/>
      <w:r>
        <w:t>Stanleybet</w:t>
      </w:r>
      <w:proofErr w:type="spellEnd"/>
      <w:r>
        <w:t xml:space="preserve"> Malta, C-463/13, punto 48 nonché la giurisprudenza ivi citata).</w:t>
      </w:r>
    </w:p>
    <w:p w14:paraId="5BACAE20" w14:textId="77777777" w:rsidR="00123A8C" w:rsidRDefault="00123A8C" w:rsidP="00123A8C"/>
    <w:p w14:paraId="0AA0F791" w14:textId="77777777" w:rsidR="00123A8C" w:rsidRDefault="00123A8C" w:rsidP="00123A8C">
      <w:r>
        <w:t xml:space="preserve">Le considerazioni appena illustrate chiariscono quindi ulteriormente, rafforzandola, la conclusione interpretativa della normativa recata dal decreto-legge n. 34/2020, alla quale già si era pervenuti sulla base del diritto interno, ovverossia che, siccome detta normativa è stata introdotta in via di decretazione d’urgenza per far fronte all’emergenza economica insorta a seguito della chiusura e delle restrizioni alle attività economiche, con lo scopo di reperire le risorse necessarie per finanziare le misure di sostegno e di rilancio dell’economia e, per quanto interessa l’art. 217, del settore sportivo, il vincolo di scopo al prelievo non può che essere sorretto, sul piano della tenuta del sistema, dalla sussistenza </w:t>
      </w:r>
      <w:r>
        <w:lastRenderedPageBreak/>
        <w:t>di serie e gravi esigenze imperative di interesse generale, non riducibili alla generica ‘ragion fiscale’.</w:t>
      </w:r>
    </w:p>
    <w:p w14:paraId="5C462567" w14:textId="77777777" w:rsidR="00123A8C" w:rsidRDefault="00123A8C" w:rsidP="00123A8C"/>
    <w:p w14:paraId="0A15D54F" w14:textId="77777777" w:rsidR="00123A8C" w:rsidRDefault="00123A8C" w:rsidP="00123A8C">
      <w:r>
        <w:t>Laddove, infatti, si negasse il principio dell’allineamento o corrispondenza fra entità del prelievo forzoso e limite massimo allo stanziamento, da intendersi dunque (anche) come limite (implicito) al prelievo medesimo, l’effetto pratico che si produrrebbe sarebbe quello di finanziare la spesa pubblica in generale, non essendo manifestate dalla norma ulteriori o diverse specifiche ragioni imperative di interesse pubblico da perseguire.</w:t>
      </w:r>
    </w:p>
    <w:p w14:paraId="02A4F8F7" w14:textId="77777777" w:rsidR="00123A8C" w:rsidRDefault="00123A8C" w:rsidP="00123A8C"/>
    <w:p w14:paraId="0DEFD73A" w14:textId="77777777" w:rsidR="00123A8C" w:rsidRDefault="00123A8C" w:rsidP="00123A8C">
      <w:r>
        <w:t>A tal fine, del resto, non potrebbero giammai sopperire le non meglio precisate “finalità omologhe” pure prospettate dalla Difesa erariale nei propri scritti difensivi, sia perché testualmente non previste dalla norma, sia perché frutto, al limite, di una destinazione ‘spontanea’ e di mero fatto da parte dello Stato in favore delle associazioni sportive e dilettantistiche, tale cioè da non consentire sia nella prospettiva del diritto europeo, sia in quella nazionale, la necessaria obiettività e misurabilità delle esigenze effettivamente volute e perseguite dal legislatore (secondo la consolidata giurisprudenza della Corte, l'identificazione degli obiettivi effettivamente perseguiti dalle disposizioni nazionali in esame nel procedimento principale rientra comunque nella competenza del giudice del rinvio: in tal senso, sentenza del 28 gennaio 2016, Laezza, C-375/14, punto 35).</w:t>
      </w:r>
    </w:p>
    <w:p w14:paraId="45208817" w14:textId="77777777" w:rsidR="00123A8C" w:rsidRDefault="00123A8C" w:rsidP="00123A8C"/>
    <w:p w14:paraId="0C11B7CB" w14:textId="77777777" w:rsidR="00123A8C" w:rsidRDefault="00123A8C" w:rsidP="00123A8C">
      <w:r>
        <w:t>20. In definitiva, gli appelli, così come in epigrafe proposti e poi riuniti, vanno accolti per le considerazioni assorbenti e integralmente satisfattorie prima declinate (il che consente di prescindere dalla disamina delle ulteriori censure articolate) e, in riforma dell’impugnata sentenza, vanno di conseguenza accolti i ricorsi di primo grado e così annullati gli atti impugnati.</w:t>
      </w:r>
    </w:p>
    <w:p w14:paraId="1EC4ADA1" w14:textId="77777777" w:rsidR="00123A8C" w:rsidRDefault="00123A8C" w:rsidP="00123A8C"/>
    <w:p w14:paraId="7A45CCE1" w14:textId="77777777" w:rsidR="00123A8C" w:rsidRDefault="00123A8C" w:rsidP="00123A8C">
      <w:r>
        <w:t>21. Le spese del doppio grado di giudizio possono compensarsi tenuto conto della parziale novità e complessità delle questioni esaminate.</w:t>
      </w:r>
    </w:p>
    <w:p w14:paraId="62D1DA4F" w14:textId="77777777" w:rsidR="00123A8C" w:rsidRDefault="00123A8C" w:rsidP="00123A8C"/>
    <w:p w14:paraId="27B0EB3B" w14:textId="77777777" w:rsidR="00123A8C" w:rsidRDefault="00123A8C" w:rsidP="00123A8C">
      <w:r>
        <w:t>P.Q.M.</w:t>
      </w:r>
    </w:p>
    <w:p w14:paraId="493D0ACD" w14:textId="77777777" w:rsidR="00123A8C" w:rsidRDefault="00123A8C" w:rsidP="00123A8C"/>
    <w:p w14:paraId="45D4488B" w14:textId="77777777" w:rsidR="00123A8C" w:rsidRDefault="00123A8C" w:rsidP="00123A8C">
      <w:r>
        <w:t>Il Consiglio di Stato in sede giurisdizionale (Sezione Settima), definitivamente pronunciando sugli appelli, come in epigrafe proposti, li riunisce e li accoglie e, di conseguenza, in riforma dell’impugnata sentenza, accoglie i ricorsi di primo grado e annulla gli atti impugnati.</w:t>
      </w:r>
    </w:p>
    <w:p w14:paraId="7BEFCFD0" w14:textId="77777777" w:rsidR="00123A8C" w:rsidRDefault="00123A8C" w:rsidP="00123A8C"/>
    <w:p w14:paraId="3A045E2B" w14:textId="77777777" w:rsidR="00123A8C" w:rsidRDefault="00123A8C" w:rsidP="00123A8C">
      <w:r>
        <w:t>Spese compensate.</w:t>
      </w:r>
    </w:p>
    <w:p w14:paraId="549D57FC" w14:textId="77777777" w:rsidR="00123A8C" w:rsidRDefault="00123A8C" w:rsidP="00123A8C"/>
    <w:p w14:paraId="33453983" w14:textId="77777777" w:rsidR="00123A8C" w:rsidRDefault="00123A8C" w:rsidP="00123A8C">
      <w:r>
        <w:t>Ordina che la presente sentenza sia eseguita dall'Autorità amministrativa.</w:t>
      </w:r>
    </w:p>
    <w:p w14:paraId="01BC1DB3" w14:textId="77777777" w:rsidR="00123A8C" w:rsidRDefault="00123A8C" w:rsidP="00123A8C"/>
    <w:p w14:paraId="28CC1DF7" w14:textId="77777777" w:rsidR="00123A8C" w:rsidRDefault="00123A8C" w:rsidP="00123A8C">
      <w:r>
        <w:t>Così deciso in Roma nelle camere di consiglio dei giorni 5 dicembre 2023, 19 febbraio 2024, con l'intervento dei magistrati:</w:t>
      </w:r>
    </w:p>
    <w:p w14:paraId="39A66094" w14:textId="77777777" w:rsidR="00123A8C" w:rsidRDefault="00123A8C" w:rsidP="00123A8C"/>
    <w:p w14:paraId="3ED3E20F" w14:textId="77777777" w:rsidR="00123A8C" w:rsidRDefault="00123A8C" w:rsidP="00123A8C">
      <w:r>
        <w:t>Fabio Taormina, Presidente</w:t>
      </w:r>
    </w:p>
    <w:p w14:paraId="6194408C" w14:textId="77777777" w:rsidR="00123A8C" w:rsidRDefault="00123A8C" w:rsidP="00123A8C"/>
    <w:p w14:paraId="0F7D38AB" w14:textId="77777777" w:rsidR="00123A8C" w:rsidRDefault="00123A8C" w:rsidP="00123A8C">
      <w:r>
        <w:t>Daniela Di Carlo, Consigliere, Estensore</w:t>
      </w:r>
    </w:p>
    <w:p w14:paraId="51F3AA9F" w14:textId="77777777" w:rsidR="00123A8C" w:rsidRDefault="00123A8C" w:rsidP="00123A8C"/>
    <w:p w14:paraId="0BE57FF0" w14:textId="77777777" w:rsidR="00123A8C" w:rsidRDefault="00123A8C" w:rsidP="00123A8C">
      <w:r>
        <w:t>Raffaello Sestini, Consigliere</w:t>
      </w:r>
    </w:p>
    <w:p w14:paraId="7E69DC6C" w14:textId="77777777" w:rsidR="00123A8C" w:rsidRDefault="00123A8C" w:rsidP="00123A8C"/>
    <w:p w14:paraId="3E3A0AF4" w14:textId="77777777" w:rsidR="00123A8C" w:rsidRDefault="00123A8C" w:rsidP="00123A8C">
      <w:r>
        <w:t>Sergio Zeuli, Consigliere</w:t>
      </w:r>
    </w:p>
    <w:p w14:paraId="53C305E3" w14:textId="77777777" w:rsidR="00123A8C" w:rsidRDefault="00123A8C" w:rsidP="00123A8C"/>
    <w:p w14:paraId="7BC5A7BC" w14:textId="77777777" w:rsidR="00123A8C" w:rsidRDefault="00123A8C" w:rsidP="00123A8C">
      <w:r>
        <w:lastRenderedPageBreak/>
        <w:t xml:space="preserve">Pietro De </w:t>
      </w:r>
      <w:proofErr w:type="spellStart"/>
      <w:r>
        <w:t>Berardinis</w:t>
      </w:r>
      <w:proofErr w:type="spellEnd"/>
      <w:r>
        <w:t>, Consigliere</w:t>
      </w:r>
    </w:p>
    <w:p w14:paraId="68C0C211" w14:textId="77777777" w:rsidR="00123A8C" w:rsidRDefault="00123A8C" w:rsidP="00123A8C"/>
    <w:p w14:paraId="45E2003C" w14:textId="77777777" w:rsidR="00123A8C" w:rsidRDefault="00123A8C" w:rsidP="00123A8C">
      <w:r>
        <w:t xml:space="preserve"> </w:t>
      </w:r>
      <w:r>
        <w:tab/>
      </w:r>
      <w:r>
        <w:tab/>
      </w:r>
    </w:p>
    <w:p w14:paraId="0A2FD385" w14:textId="77777777" w:rsidR="00123A8C" w:rsidRDefault="00123A8C" w:rsidP="00123A8C">
      <w:r>
        <w:t xml:space="preserve"> </w:t>
      </w:r>
      <w:r>
        <w:tab/>
      </w:r>
      <w:r>
        <w:tab/>
      </w:r>
    </w:p>
    <w:p w14:paraId="67D240FF" w14:textId="77777777" w:rsidR="00123A8C" w:rsidRDefault="00123A8C" w:rsidP="00123A8C">
      <w:r>
        <w:t>L'ESTENSORE</w:t>
      </w:r>
      <w:r>
        <w:tab/>
      </w:r>
      <w:r>
        <w:tab/>
        <w:t>IL PRESIDENTE</w:t>
      </w:r>
    </w:p>
    <w:p w14:paraId="081472DF" w14:textId="77777777" w:rsidR="00123A8C" w:rsidRDefault="00123A8C" w:rsidP="00123A8C">
      <w:r>
        <w:t>Daniela Di Carlo</w:t>
      </w:r>
      <w:r>
        <w:tab/>
      </w:r>
      <w:r>
        <w:tab/>
        <w:t>Fabio Taormina</w:t>
      </w:r>
    </w:p>
    <w:p w14:paraId="13878EA2" w14:textId="77777777" w:rsidR="00123A8C" w:rsidRDefault="00123A8C" w:rsidP="00123A8C">
      <w:r>
        <w:t xml:space="preserve"> </w:t>
      </w:r>
      <w:r>
        <w:tab/>
      </w:r>
      <w:r>
        <w:tab/>
      </w:r>
    </w:p>
    <w:p w14:paraId="5277AA7A" w14:textId="77777777" w:rsidR="00123A8C" w:rsidRDefault="00123A8C" w:rsidP="00123A8C">
      <w:r>
        <w:t xml:space="preserve"> </w:t>
      </w:r>
      <w:r>
        <w:tab/>
      </w:r>
      <w:r>
        <w:tab/>
      </w:r>
    </w:p>
    <w:p w14:paraId="53D3EB0D" w14:textId="77777777" w:rsidR="00123A8C" w:rsidRDefault="00123A8C" w:rsidP="00123A8C">
      <w:r>
        <w:t xml:space="preserve"> </w:t>
      </w:r>
      <w:r>
        <w:tab/>
      </w:r>
      <w:r>
        <w:tab/>
      </w:r>
    </w:p>
    <w:p w14:paraId="03ED3EAC" w14:textId="77777777" w:rsidR="00123A8C" w:rsidRDefault="00123A8C" w:rsidP="00123A8C">
      <w:r>
        <w:t xml:space="preserve"> </w:t>
      </w:r>
      <w:r>
        <w:tab/>
      </w:r>
      <w:r>
        <w:tab/>
      </w:r>
    </w:p>
    <w:p w14:paraId="3F8A0402" w14:textId="77777777" w:rsidR="00123A8C" w:rsidRDefault="00123A8C" w:rsidP="00123A8C">
      <w:r>
        <w:t xml:space="preserve"> </w:t>
      </w:r>
      <w:r>
        <w:tab/>
      </w:r>
      <w:r>
        <w:tab/>
      </w:r>
    </w:p>
    <w:p w14:paraId="2CC88B0F" w14:textId="77777777" w:rsidR="00123A8C" w:rsidRDefault="00123A8C" w:rsidP="00123A8C">
      <w:r>
        <w:t>IL SEGRETARIO</w:t>
      </w:r>
    </w:p>
    <w:p w14:paraId="248B791F" w14:textId="77777777" w:rsidR="00123A8C" w:rsidRDefault="00123A8C" w:rsidP="00123A8C"/>
    <w:p w14:paraId="69873925" w14:textId="77777777" w:rsidR="00FA7B8E" w:rsidRDefault="00FA7B8E"/>
    <w:sectPr w:rsidR="00FA7B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8C"/>
    <w:rsid w:val="00123A8C"/>
    <w:rsid w:val="006B5DC6"/>
    <w:rsid w:val="00B05A12"/>
    <w:rsid w:val="00FA7B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45D26"/>
  <w15:chartTrackingRefBased/>
  <w15:docId w15:val="{29CD4BBD-F938-4543-A7CD-E804B1DC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23A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23A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23A8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23A8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23A8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23A8C"/>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23A8C"/>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23A8C"/>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23A8C"/>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23A8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23A8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23A8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23A8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23A8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23A8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23A8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23A8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23A8C"/>
    <w:rPr>
      <w:rFonts w:eastAsiaTheme="majorEastAsia" w:cstheme="majorBidi"/>
      <w:color w:val="272727" w:themeColor="text1" w:themeTint="D8"/>
    </w:rPr>
  </w:style>
  <w:style w:type="paragraph" w:styleId="Titolo">
    <w:name w:val="Title"/>
    <w:basedOn w:val="Normale"/>
    <w:next w:val="Normale"/>
    <w:link w:val="TitoloCarattere"/>
    <w:uiPriority w:val="10"/>
    <w:qFormat/>
    <w:rsid w:val="00123A8C"/>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23A8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23A8C"/>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23A8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23A8C"/>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123A8C"/>
    <w:rPr>
      <w:i/>
      <w:iCs/>
      <w:color w:val="404040" w:themeColor="text1" w:themeTint="BF"/>
    </w:rPr>
  </w:style>
  <w:style w:type="paragraph" w:styleId="Paragrafoelenco">
    <w:name w:val="List Paragraph"/>
    <w:basedOn w:val="Normale"/>
    <w:uiPriority w:val="34"/>
    <w:qFormat/>
    <w:rsid w:val="00123A8C"/>
    <w:pPr>
      <w:ind w:left="720"/>
      <w:contextualSpacing/>
    </w:pPr>
  </w:style>
  <w:style w:type="character" w:styleId="Enfasiintensa">
    <w:name w:val="Intense Emphasis"/>
    <w:basedOn w:val="Carpredefinitoparagrafo"/>
    <w:uiPriority w:val="21"/>
    <w:qFormat/>
    <w:rsid w:val="00123A8C"/>
    <w:rPr>
      <w:i/>
      <w:iCs/>
      <w:color w:val="0F4761" w:themeColor="accent1" w:themeShade="BF"/>
    </w:rPr>
  </w:style>
  <w:style w:type="paragraph" w:styleId="Citazioneintensa">
    <w:name w:val="Intense Quote"/>
    <w:basedOn w:val="Normale"/>
    <w:next w:val="Normale"/>
    <w:link w:val="CitazioneintensaCarattere"/>
    <w:uiPriority w:val="30"/>
    <w:qFormat/>
    <w:rsid w:val="00123A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23A8C"/>
    <w:rPr>
      <w:i/>
      <w:iCs/>
      <w:color w:val="0F4761" w:themeColor="accent1" w:themeShade="BF"/>
    </w:rPr>
  </w:style>
  <w:style w:type="character" w:styleId="Riferimentointenso">
    <w:name w:val="Intense Reference"/>
    <w:basedOn w:val="Carpredefinitoparagrafo"/>
    <w:uiPriority w:val="32"/>
    <w:qFormat/>
    <w:rsid w:val="00123A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6572</Words>
  <Characters>37464</Characters>
  <Application>Microsoft Office Word</Application>
  <DocSecurity>0</DocSecurity>
  <Lines>312</Lines>
  <Paragraphs>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Giacobbe</dc:creator>
  <cp:keywords/>
  <dc:description/>
  <cp:lastModifiedBy>Andrea Cantelmo</cp:lastModifiedBy>
  <cp:revision>2</cp:revision>
  <dcterms:created xsi:type="dcterms:W3CDTF">2024-02-27T11:29:00Z</dcterms:created>
  <dcterms:modified xsi:type="dcterms:W3CDTF">2024-02-27T11:29:00Z</dcterms:modified>
</cp:coreProperties>
</file>